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5533" w14:textId="16119289" w:rsidR="00976760" w:rsidRDefault="00976760" w:rsidP="00B97C7C">
      <w:pPr>
        <w:spacing w:after="0" w:line="240" w:lineRule="auto"/>
        <w:jc w:val="both"/>
      </w:pPr>
    </w:p>
    <w:p w14:paraId="3B2F5B46" w14:textId="71B4497F" w:rsidR="00DE07DA" w:rsidRDefault="002B5CEA" w:rsidP="00B97C7C">
      <w:pPr>
        <w:spacing w:after="0" w:line="240" w:lineRule="auto"/>
        <w:jc w:val="center"/>
        <w:rPr>
          <w:b/>
          <w:bCs/>
          <w:color w:val="3333FF"/>
          <w:sz w:val="36"/>
          <w:szCs w:val="36"/>
        </w:rPr>
      </w:pPr>
      <w:r>
        <w:rPr>
          <w:b/>
          <w:bCs/>
          <w:color w:val="3333FF"/>
          <w:sz w:val="36"/>
          <w:szCs w:val="36"/>
        </w:rPr>
        <w:t xml:space="preserve">Utilisation du cannabis à des fins industrielles, commerciales ou thérapeutiques, le point sur les évolutions de la </w:t>
      </w:r>
      <w:r w:rsidR="00A5213C">
        <w:rPr>
          <w:b/>
          <w:bCs/>
          <w:color w:val="3333FF"/>
          <w:sz w:val="36"/>
          <w:szCs w:val="36"/>
        </w:rPr>
        <w:t xml:space="preserve">règlementation </w:t>
      </w:r>
      <w:r>
        <w:rPr>
          <w:b/>
          <w:bCs/>
          <w:color w:val="3333FF"/>
          <w:sz w:val="36"/>
          <w:szCs w:val="36"/>
        </w:rPr>
        <w:t>française</w:t>
      </w:r>
    </w:p>
    <w:p w14:paraId="3F9DAA2E" w14:textId="77777777" w:rsidR="00A251AA" w:rsidRDefault="00A251AA" w:rsidP="00A251AA">
      <w:pPr>
        <w:jc w:val="both"/>
        <w:rPr>
          <w:b/>
          <w:bCs/>
        </w:rPr>
      </w:pPr>
    </w:p>
    <w:p w14:paraId="0BBCA32A" w14:textId="57DBCC87" w:rsidR="00A251AA" w:rsidRPr="00A251AA" w:rsidRDefault="00A251AA" w:rsidP="00A251AA">
      <w:pPr>
        <w:jc w:val="both"/>
        <w:rPr>
          <w:b/>
          <w:bCs/>
        </w:rPr>
      </w:pPr>
      <w:r w:rsidRPr="00A251AA">
        <w:rPr>
          <w:b/>
          <w:bCs/>
        </w:rPr>
        <w:t>Par Barbara BERTHOLET, avocate associée</w:t>
      </w:r>
      <w:r>
        <w:rPr>
          <w:b/>
          <w:bCs/>
        </w:rPr>
        <w:t xml:space="preserve"> ainsi que </w:t>
      </w:r>
      <w:r w:rsidRPr="00A251AA">
        <w:rPr>
          <w:b/>
          <w:bCs/>
        </w:rPr>
        <w:t xml:space="preserve">Rachel DEVIDAL et Gladys ANDALORO, avocates. </w:t>
      </w:r>
    </w:p>
    <w:p w14:paraId="3746261D" w14:textId="0299203E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47769E00" w14:textId="77777777" w:rsidR="0017795C" w:rsidRDefault="0017795C" w:rsidP="00A251AA">
      <w:pPr>
        <w:spacing w:after="0" w:line="240" w:lineRule="auto"/>
        <w:jc w:val="center"/>
        <w:rPr>
          <w:color w:val="000000" w:themeColor="text1"/>
        </w:rPr>
      </w:pPr>
    </w:p>
    <w:p w14:paraId="08D2AF8E" w14:textId="584F8F49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0ABDD3B2" w14:textId="7E8D754E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7B191AD7" wp14:editId="2806343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773141" cy="1348619"/>
            <wp:effectExtent l="0" t="0" r="0" b="4445"/>
            <wp:wrapNone/>
            <wp:docPr id="4" name="Image 4" descr="Une image contenant personne, souriant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ersonne, souriant, posan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41" cy="1348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8E46EFC" wp14:editId="487D94DA">
            <wp:simplePos x="0" y="0"/>
            <wp:positionH relativeFrom="column">
              <wp:posOffset>6654</wp:posOffset>
            </wp:positionH>
            <wp:positionV relativeFrom="paragraph">
              <wp:posOffset>10629</wp:posOffset>
            </wp:positionV>
            <wp:extent cx="1741335" cy="1324620"/>
            <wp:effectExtent l="0" t="0" r="0" b="8890"/>
            <wp:wrapNone/>
            <wp:docPr id="3" name="Image 3" descr="Une image contenant personn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, posan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320" cy="1332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F9053D5" wp14:editId="3A49C531">
            <wp:simplePos x="0" y="0"/>
            <wp:positionH relativeFrom="margin">
              <wp:posOffset>4017303</wp:posOffset>
            </wp:positionH>
            <wp:positionV relativeFrom="paragraph">
              <wp:posOffset>10630</wp:posOffset>
            </wp:positionV>
            <wp:extent cx="1753603" cy="1311966"/>
            <wp:effectExtent l="0" t="0" r="0" b="2540"/>
            <wp:wrapNone/>
            <wp:docPr id="2" name="Image 2" descr="Une image contenant personn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personne, posan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4544" cy="1320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46782E" w14:textId="77777777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5FC7A524" w14:textId="773E8FD5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068F4412" w14:textId="2B5A59C1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23273F4F" w14:textId="6DB02EE8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2BB06A50" w14:textId="321D78D8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451A6374" w14:textId="2F1E58A4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0929769B" w14:textId="77777777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225143DE" w14:textId="77777777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3F235EE5" w14:textId="0AD17074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4C7874AE" w14:textId="200055C3" w:rsidR="00A251AA" w:rsidRDefault="00A251AA" w:rsidP="00A251AA">
      <w:pPr>
        <w:spacing w:after="0" w:line="240" w:lineRule="auto"/>
        <w:jc w:val="center"/>
        <w:rPr>
          <w:color w:val="000000" w:themeColor="text1"/>
        </w:rPr>
      </w:pPr>
    </w:p>
    <w:p w14:paraId="3729EA90" w14:textId="131CCBBF" w:rsidR="00FD58E5" w:rsidRDefault="00A251AA" w:rsidP="00A251AA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***</w:t>
      </w:r>
    </w:p>
    <w:p w14:paraId="591137AB" w14:textId="0FB05286" w:rsidR="00A251AA" w:rsidRPr="00FD58E5" w:rsidRDefault="00A251AA" w:rsidP="00B97C7C">
      <w:pPr>
        <w:spacing w:after="0" w:line="240" w:lineRule="auto"/>
        <w:jc w:val="both"/>
        <w:rPr>
          <w:color w:val="000000" w:themeColor="text1"/>
        </w:rPr>
      </w:pPr>
    </w:p>
    <w:p w14:paraId="08F4957B" w14:textId="75B555BB" w:rsidR="004719C8" w:rsidRDefault="002B5CEA" w:rsidP="00B97C7C">
      <w:pPr>
        <w:spacing w:after="0" w:line="240" w:lineRule="auto"/>
        <w:jc w:val="both"/>
      </w:pPr>
      <w:r>
        <w:t>Le</w:t>
      </w:r>
      <w:r w:rsidR="002E08CC">
        <w:t xml:space="preserve"> cannabis est une plante classée, depuis un ar</w:t>
      </w:r>
      <w:r w:rsidR="00917625">
        <w:t xml:space="preserve">rêté </w:t>
      </w:r>
      <w:r w:rsidR="00303748">
        <w:t xml:space="preserve">du 22 février 1990, </w:t>
      </w:r>
      <w:r w:rsidR="00917625">
        <w:t>parmi l</w:t>
      </w:r>
      <w:r w:rsidR="002178EC">
        <w:t xml:space="preserve">a liste des </w:t>
      </w:r>
      <w:r w:rsidR="00917625">
        <w:t xml:space="preserve">substances </w:t>
      </w:r>
      <w:r w:rsidR="002178EC">
        <w:t>stupéfiant</w:t>
      </w:r>
      <w:r w:rsidR="002E08CC">
        <w:t>e</w:t>
      </w:r>
      <w:r w:rsidR="002178EC">
        <w:t>s</w:t>
      </w:r>
      <w:r w:rsidR="002178EC">
        <w:rPr>
          <w:rStyle w:val="Appelnotedebasdep"/>
        </w:rPr>
        <w:footnoteReference w:id="1"/>
      </w:r>
      <w:r w:rsidR="00FD58E5">
        <w:t xml:space="preserve">. </w:t>
      </w:r>
      <w:r w:rsidR="002E08CC">
        <w:t>La qualification de stupéfiant porte également sur la résine de cannabis ainsi que sur</w:t>
      </w:r>
      <w:r>
        <w:t xml:space="preserve"> les tétrahydrocannabinols (THC</w:t>
      </w:r>
      <w:r w:rsidR="00A5213C">
        <w:t xml:space="preserve">), </w:t>
      </w:r>
      <w:r w:rsidR="002E08CC">
        <w:t xml:space="preserve">la molécule </w:t>
      </w:r>
      <w:r w:rsidR="00FD65AB">
        <w:t>aux effets psychotropes</w:t>
      </w:r>
      <w:r w:rsidR="002E08CC">
        <w:t>.</w:t>
      </w:r>
    </w:p>
    <w:p w14:paraId="2A175093" w14:textId="26B906D2" w:rsidR="004719C8" w:rsidRDefault="004719C8" w:rsidP="00B97C7C">
      <w:pPr>
        <w:spacing w:after="0" w:line="240" w:lineRule="auto"/>
        <w:jc w:val="both"/>
      </w:pPr>
    </w:p>
    <w:p w14:paraId="5B7AD66A" w14:textId="7FDB82D6" w:rsidR="004719C8" w:rsidRDefault="004719C8" w:rsidP="00B97C7C">
      <w:pPr>
        <w:spacing w:after="0" w:line="240" w:lineRule="auto"/>
        <w:jc w:val="both"/>
      </w:pPr>
      <w:r>
        <w:t>En conséquence</w:t>
      </w:r>
      <w:r w:rsidR="002B5CEA">
        <w:t xml:space="preserve"> de cette qualification, la législation française interdit le commerce du cannabis, ainsi que son usage. Plus particulièrement, sont interdits</w:t>
      </w:r>
      <w:r>
        <w:t xml:space="preserve"> la production, la fabrication, le transport, l'importation, l'exportation, la détention, l'offre, la vente, l'achat ou l'utilisation de </w:t>
      </w:r>
      <w:r w:rsidR="00FD58E5">
        <w:t>c</w:t>
      </w:r>
      <w:r>
        <w:t>annabis</w:t>
      </w:r>
      <w:r w:rsidR="002E08CC">
        <w:t xml:space="preserve"> (</w:t>
      </w:r>
      <w:r>
        <w:t>et de THC</w:t>
      </w:r>
      <w:r w:rsidR="002E08CC">
        <w:t xml:space="preserve">, </w:t>
      </w:r>
      <w:r w:rsidR="00731D48">
        <w:t>à l’exception du delta 9-</w:t>
      </w:r>
      <w:r w:rsidR="00731D48" w:rsidRPr="00731D48">
        <w:t xml:space="preserve"> tétrahydrocannabinol</w:t>
      </w:r>
      <w:r w:rsidR="00731D48">
        <w:t>)</w:t>
      </w:r>
      <w:r w:rsidR="008C4973">
        <w:rPr>
          <w:rStyle w:val="Appelnotedebasdep"/>
        </w:rPr>
        <w:footnoteReference w:id="2"/>
      </w:r>
      <w:r w:rsidR="0017325D">
        <w:t>.</w:t>
      </w:r>
    </w:p>
    <w:p w14:paraId="675CB652" w14:textId="5A01B8B3" w:rsidR="009D5D00" w:rsidRDefault="009D5D00" w:rsidP="00B97C7C">
      <w:pPr>
        <w:spacing w:after="0" w:line="240" w:lineRule="auto"/>
        <w:jc w:val="both"/>
      </w:pPr>
    </w:p>
    <w:p w14:paraId="1B4F2679" w14:textId="2AF47085" w:rsidR="002B5CEA" w:rsidRDefault="002B5CEA" w:rsidP="00B97C7C">
      <w:pPr>
        <w:spacing w:after="0" w:line="240" w:lineRule="auto"/>
        <w:jc w:val="both"/>
      </w:pPr>
      <w:r>
        <w:t>L</w:t>
      </w:r>
      <w:r w:rsidR="00A5213C">
        <w:t>a</w:t>
      </w:r>
      <w:r>
        <w:t xml:space="preserve"> </w:t>
      </w:r>
      <w:r w:rsidR="00A5213C">
        <w:t>violation</w:t>
      </w:r>
      <w:r>
        <w:t xml:space="preserve"> de ces interdictions </w:t>
      </w:r>
      <w:r w:rsidR="00A5213C">
        <w:t>est sanctionnée pénalement.</w:t>
      </w:r>
    </w:p>
    <w:p w14:paraId="60B84713" w14:textId="77777777" w:rsidR="002B5CEA" w:rsidRDefault="002B5CEA" w:rsidP="00B97C7C">
      <w:pPr>
        <w:spacing w:after="0" w:line="240" w:lineRule="auto"/>
        <w:jc w:val="both"/>
      </w:pPr>
    </w:p>
    <w:p w14:paraId="1FE91E2F" w14:textId="0BFF319F" w:rsidR="002B5CEA" w:rsidRDefault="002E08CC" w:rsidP="00B97C7C">
      <w:pPr>
        <w:spacing w:after="0" w:line="240" w:lineRule="auto"/>
        <w:jc w:val="both"/>
      </w:pPr>
      <w:r>
        <w:t xml:space="preserve">Sont </w:t>
      </w:r>
      <w:r w:rsidR="00A5213C">
        <w:t>ainsi</w:t>
      </w:r>
      <w:r w:rsidR="002B5CEA">
        <w:t xml:space="preserve"> </w:t>
      </w:r>
      <w:r>
        <w:t>réprimés</w:t>
      </w:r>
      <w:r w:rsidR="002B5CEA">
        <w:t xml:space="preserve"> : </w:t>
      </w:r>
    </w:p>
    <w:p w14:paraId="3FE707C6" w14:textId="77777777" w:rsidR="002B5CEA" w:rsidRDefault="00516C3E" w:rsidP="002B5CEA">
      <w:pPr>
        <w:pStyle w:val="Paragraphedeliste"/>
        <w:numPr>
          <w:ilvl w:val="0"/>
          <w:numId w:val="9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trafic de </w:t>
      </w:r>
      <w:r w:rsidR="002E08CC">
        <w:t>stupéfiants</w:t>
      </w:r>
      <w:r>
        <w:t xml:space="preserve"> (incluant la production, la fabrication</w:t>
      </w:r>
      <w:r w:rsidR="008C4973">
        <w:t>,</w:t>
      </w:r>
      <w:r>
        <w:t xml:space="preserve"> l’importation et l’exportation, l</w:t>
      </w:r>
      <w:r w:rsidRPr="00516C3E">
        <w:t>e transport, la détention, l'offre, la cession, l'acquisition ou l'emploi illicites</w:t>
      </w:r>
      <w:r w:rsidR="002E08CC">
        <w:t xml:space="preserve"> de cannabis</w:t>
      </w:r>
      <w:r>
        <w:t>)</w:t>
      </w:r>
      <w:r>
        <w:rPr>
          <w:rStyle w:val="Appelnotedebasdep"/>
        </w:rPr>
        <w:footnoteReference w:id="3"/>
      </w:r>
      <w:r w:rsidR="00F2563C">
        <w:t>,</w:t>
      </w:r>
    </w:p>
    <w:p w14:paraId="0F63EF57" w14:textId="3678B9ED" w:rsidR="002B5CEA" w:rsidRDefault="00516C3E" w:rsidP="002B5CEA">
      <w:pPr>
        <w:pStyle w:val="Paragraphedeliste"/>
        <w:numPr>
          <w:ilvl w:val="0"/>
          <w:numId w:val="9"/>
        </w:numPr>
        <w:spacing w:after="0" w:line="240" w:lineRule="auto"/>
        <w:jc w:val="both"/>
      </w:pPr>
      <w:proofErr w:type="gramStart"/>
      <w:r>
        <w:t>l’usage</w:t>
      </w:r>
      <w:proofErr w:type="gramEnd"/>
      <w:r>
        <w:t xml:space="preserve"> illicite de stupéfiants</w:t>
      </w:r>
      <w:r>
        <w:rPr>
          <w:rStyle w:val="Appelnotedebasdep"/>
        </w:rPr>
        <w:footnoteReference w:id="4"/>
      </w:r>
      <w:r w:rsidR="002B5CEA">
        <w:t>,</w:t>
      </w:r>
      <w:r w:rsidR="00F2563C">
        <w:t xml:space="preserve"> </w:t>
      </w:r>
      <w:r w:rsidR="006C5272">
        <w:t xml:space="preserve">et </w:t>
      </w:r>
    </w:p>
    <w:p w14:paraId="2F8CBE78" w14:textId="7CEF9CEB" w:rsidR="000B40EC" w:rsidRDefault="00F2563C" w:rsidP="002B5CEA">
      <w:pPr>
        <w:pStyle w:val="Paragraphedeliste"/>
        <w:numPr>
          <w:ilvl w:val="0"/>
          <w:numId w:val="9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provocation à l’usage et au trafic de stupéfiant</w:t>
      </w:r>
      <w:r>
        <w:rPr>
          <w:rStyle w:val="Appelnotedebasdep"/>
        </w:rPr>
        <w:footnoteReference w:id="5"/>
      </w:r>
      <w:r w:rsidR="00516C3E">
        <w:t xml:space="preserve">. </w:t>
      </w:r>
    </w:p>
    <w:p w14:paraId="59BDB1D2" w14:textId="77777777" w:rsidR="000B40EC" w:rsidRDefault="000B40EC" w:rsidP="00B97C7C">
      <w:pPr>
        <w:spacing w:after="0" w:line="240" w:lineRule="auto"/>
        <w:jc w:val="both"/>
      </w:pPr>
    </w:p>
    <w:p w14:paraId="2325F2EE" w14:textId="121A9EF6" w:rsidR="001C11DD" w:rsidRDefault="002B5CEA" w:rsidP="00B97C7C">
      <w:pPr>
        <w:spacing w:after="0" w:line="240" w:lineRule="auto"/>
        <w:jc w:val="both"/>
      </w:pPr>
      <w:r>
        <w:t xml:space="preserve">Ce principe souffre cependant de trois exceptions, en passe d’élargissement. </w:t>
      </w:r>
    </w:p>
    <w:p w14:paraId="57F0DDBA" w14:textId="77777777" w:rsidR="001C11DD" w:rsidRDefault="001C11DD" w:rsidP="00B97C7C">
      <w:pPr>
        <w:spacing w:after="0" w:line="240" w:lineRule="auto"/>
        <w:jc w:val="both"/>
      </w:pPr>
    </w:p>
    <w:p w14:paraId="713F42AA" w14:textId="04C16570" w:rsidR="001E7EEF" w:rsidRPr="00731D48" w:rsidRDefault="008D35B3" w:rsidP="00731D48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/>
          <w:bCs/>
        </w:rPr>
      </w:pPr>
      <w:r>
        <w:rPr>
          <w:b/>
          <w:bCs/>
          <w:color w:val="3333FF"/>
        </w:rPr>
        <w:t>Le commerce de cannabis</w:t>
      </w:r>
      <w:r w:rsidR="00C41426">
        <w:rPr>
          <w:b/>
          <w:bCs/>
          <w:color w:val="3333FF"/>
        </w:rPr>
        <w:t xml:space="preserve"> à</w:t>
      </w:r>
      <w:r w:rsidR="00731D48">
        <w:rPr>
          <w:b/>
          <w:bCs/>
          <w:color w:val="3333FF"/>
        </w:rPr>
        <w:t xml:space="preserve"> des fins</w:t>
      </w:r>
      <w:r w:rsidR="001E7EEF" w:rsidRPr="00731D48">
        <w:rPr>
          <w:b/>
          <w:bCs/>
          <w:color w:val="3333FF"/>
        </w:rPr>
        <w:t xml:space="preserve"> de recherche, de </w:t>
      </w:r>
      <w:r w:rsidR="007010F3" w:rsidRPr="00731D48">
        <w:rPr>
          <w:b/>
          <w:bCs/>
          <w:color w:val="3333FF"/>
        </w:rPr>
        <w:t>contrôle</w:t>
      </w:r>
      <w:r w:rsidR="00E46DEC" w:rsidRPr="00731D48">
        <w:rPr>
          <w:b/>
          <w:bCs/>
          <w:color w:val="3333FF"/>
        </w:rPr>
        <w:t xml:space="preserve"> ou de fabrication de dérivés</w:t>
      </w:r>
      <w:r w:rsidR="00A74552" w:rsidRPr="00731D48">
        <w:rPr>
          <w:b/>
          <w:bCs/>
          <w:color w:val="3333FF"/>
        </w:rPr>
        <w:t xml:space="preserve"> autorisés</w:t>
      </w:r>
      <w:r w:rsidR="00A74552" w:rsidRPr="00731D48">
        <w:rPr>
          <w:b/>
          <w:bCs/>
        </w:rPr>
        <w:t xml:space="preserve"> </w:t>
      </w:r>
    </w:p>
    <w:p w14:paraId="193B5F89" w14:textId="77777777" w:rsidR="002178EC" w:rsidRDefault="002178EC" w:rsidP="00B97C7C">
      <w:pPr>
        <w:spacing w:after="0" w:line="240" w:lineRule="auto"/>
        <w:jc w:val="both"/>
      </w:pPr>
    </w:p>
    <w:p w14:paraId="0D03D9C6" w14:textId="581F6AA4" w:rsidR="002A4DFF" w:rsidRDefault="002A4DFF" w:rsidP="00B97C7C">
      <w:pPr>
        <w:spacing w:after="0" w:line="240" w:lineRule="auto"/>
        <w:jc w:val="both"/>
      </w:pPr>
      <w:r>
        <w:lastRenderedPageBreak/>
        <w:t xml:space="preserve">Le Directeur général de </w:t>
      </w:r>
      <w:r w:rsidRPr="00E46DEC">
        <w:t>l’agence nationale de sécurité du médicament et des produits de santé (ANSM)</w:t>
      </w:r>
      <w:r>
        <w:t xml:space="preserve"> peut d’abord autoriser la réalisation de certaines opérations relative</w:t>
      </w:r>
      <w:r w:rsidR="00A5213C">
        <w:t>s</w:t>
      </w:r>
      <w:r>
        <w:t xml:space="preserve"> au cannabis lorsque</w:t>
      </w:r>
      <w:r w:rsidR="00C41426">
        <w:t xml:space="preserve"> </w:t>
      </w:r>
      <w:r>
        <w:t>celles-ci sont réalisées</w:t>
      </w:r>
      <w:r w:rsidR="002E08CC">
        <w:t xml:space="preserve"> à des fins de recherche, de contrôle ou de fabrication de dérivés</w:t>
      </w:r>
      <w:r w:rsidR="002E08CC" w:rsidRPr="002E08CC">
        <w:rPr>
          <w:vertAlign w:val="superscript"/>
        </w:rPr>
        <w:footnoteReference w:id="6"/>
      </w:r>
      <w:r w:rsidR="002E08CC" w:rsidRPr="002E08CC">
        <w:rPr>
          <w:b/>
          <w:bCs/>
          <w:vertAlign w:val="superscript"/>
        </w:rPr>
        <w:t>.</w:t>
      </w:r>
      <w:r>
        <w:rPr>
          <w:b/>
          <w:bCs/>
          <w:vertAlign w:val="superscript"/>
        </w:rPr>
        <w:t>.</w:t>
      </w:r>
    </w:p>
    <w:p w14:paraId="3B8A37CC" w14:textId="77777777" w:rsidR="002A4DFF" w:rsidRDefault="002A4DFF" w:rsidP="00B97C7C">
      <w:pPr>
        <w:spacing w:after="0" w:line="240" w:lineRule="auto"/>
        <w:jc w:val="both"/>
      </w:pPr>
    </w:p>
    <w:p w14:paraId="61B40959" w14:textId="48C82AE7" w:rsidR="007010F3" w:rsidRDefault="002A4DFF" w:rsidP="00C3238D">
      <w:pPr>
        <w:spacing w:after="0" w:line="240" w:lineRule="auto"/>
        <w:jc w:val="both"/>
      </w:pPr>
      <w:r>
        <w:t xml:space="preserve">Seules sont concernées les opérations de </w:t>
      </w:r>
      <w:r w:rsidR="007010F3" w:rsidRPr="007010F3">
        <w:t>production, fabrication, transport, importation, exportation</w:t>
      </w:r>
      <w:r>
        <w:t xml:space="preserve">, </w:t>
      </w:r>
      <w:r w:rsidR="007010F3" w:rsidRPr="007010F3">
        <w:t>détention, offre, cession, acquisition</w:t>
      </w:r>
      <w:r w:rsidR="00C3238D">
        <w:t xml:space="preserve"> et </w:t>
      </w:r>
      <w:r w:rsidR="007010F3" w:rsidRPr="007010F3">
        <w:t>emploi</w:t>
      </w:r>
      <w:r w:rsidR="00C3238D">
        <w:t xml:space="preserve"> de cannabis (plante et résine</w:t>
      </w:r>
      <w:r w:rsidR="000359A0">
        <w:t>, toutes variétés confondues</w:t>
      </w:r>
      <w:r w:rsidR="00C3238D">
        <w:t>) et de THC</w:t>
      </w:r>
      <w:r w:rsidR="00731D48">
        <w:t>.</w:t>
      </w:r>
    </w:p>
    <w:p w14:paraId="492B868E" w14:textId="45F56EF6" w:rsidR="0084639D" w:rsidRDefault="0084639D" w:rsidP="00B97C7C">
      <w:pPr>
        <w:spacing w:after="0" w:line="240" w:lineRule="auto"/>
        <w:jc w:val="both"/>
      </w:pPr>
    </w:p>
    <w:p w14:paraId="26BA772B" w14:textId="56F3C691" w:rsidR="002E08CC" w:rsidRDefault="002E08CC" w:rsidP="00B97C7C">
      <w:pPr>
        <w:spacing w:after="0" w:line="240" w:lineRule="auto"/>
        <w:jc w:val="both"/>
      </w:pPr>
      <w:r>
        <w:t xml:space="preserve">On notera que </w:t>
      </w:r>
      <w:r w:rsidR="000359A0">
        <w:t xml:space="preserve">les opérations de </w:t>
      </w:r>
      <w:r>
        <w:t xml:space="preserve">culture de cannabis </w:t>
      </w:r>
      <w:r w:rsidR="000359A0">
        <w:t xml:space="preserve">ne sont </w:t>
      </w:r>
      <w:r>
        <w:t>pas autorisée</w:t>
      </w:r>
      <w:r w:rsidR="000359A0">
        <w:t>s</w:t>
      </w:r>
      <w:r>
        <w:t xml:space="preserve"> ici. Il appartient donc aux opérateurs </w:t>
      </w:r>
      <w:r w:rsidR="000359A0">
        <w:t>souhaitant mettre en place des activités de recherche</w:t>
      </w:r>
      <w:r w:rsidR="0017325D">
        <w:t xml:space="preserve">, </w:t>
      </w:r>
      <w:r w:rsidR="000359A0">
        <w:t>de contrôle</w:t>
      </w:r>
      <w:r w:rsidR="0017325D">
        <w:t xml:space="preserve"> ou de fabrication de dérivés,</w:t>
      </w:r>
      <w:r w:rsidR="000359A0">
        <w:t xml:space="preserve"> </w:t>
      </w:r>
      <w:r>
        <w:t xml:space="preserve">de s’approvisionner à l’étranger, l’importation, étant </w:t>
      </w:r>
      <w:r w:rsidR="00C41426">
        <w:t>quant à elle</w:t>
      </w:r>
      <w:r w:rsidR="00C41426" w:rsidDel="000359A0">
        <w:t xml:space="preserve"> </w:t>
      </w:r>
      <w:r w:rsidR="00C41426">
        <w:t>autorisée</w:t>
      </w:r>
      <w:r>
        <w:t xml:space="preserve">. </w:t>
      </w:r>
    </w:p>
    <w:p w14:paraId="44857070" w14:textId="77777777" w:rsidR="002E08CC" w:rsidRDefault="002E08CC" w:rsidP="00B97C7C">
      <w:pPr>
        <w:spacing w:after="0" w:line="240" w:lineRule="auto"/>
        <w:jc w:val="both"/>
      </w:pPr>
    </w:p>
    <w:p w14:paraId="1FB111EC" w14:textId="61159A7D" w:rsidR="00234BD9" w:rsidRPr="00D12D80" w:rsidRDefault="00234BD9" w:rsidP="00860F2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/>
          <w:bCs/>
          <w:color w:val="3333FF"/>
        </w:rPr>
      </w:pPr>
      <w:r w:rsidRPr="00D12D80">
        <w:rPr>
          <w:b/>
          <w:bCs/>
          <w:color w:val="3333FF"/>
        </w:rPr>
        <w:t>L</w:t>
      </w:r>
      <w:r w:rsidR="00D12D80" w:rsidRPr="00D12D80">
        <w:rPr>
          <w:b/>
          <w:bCs/>
          <w:color w:val="3333FF"/>
        </w:rPr>
        <w:t>e commerce d</w:t>
      </w:r>
      <w:r w:rsidR="008D35B3">
        <w:rPr>
          <w:b/>
          <w:bCs/>
          <w:color w:val="3333FF"/>
        </w:rPr>
        <w:t>e</w:t>
      </w:r>
      <w:r w:rsidR="00D12D80" w:rsidRPr="00D12D80">
        <w:rPr>
          <w:b/>
          <w:bCs/>
          <w:color w:val="3333FF"/>
        </w:rPr>
        <w:t xml:space="preserve"> cannabis dépourvu de propriétés stupéfiantes </w:t>
      </w:r>
    </w:p>
    <w:p w14:paraId="15D73088" w14:textId="00C43A08" w:rsidR="00D12D80" w:rsidRDefault="00D12D80" w:rsidP="00B97C7C">
      <w:pPr>
        <w:spacing w:after="0" w:line="240" w:lineRule="auto"/>
        <w:jc w:val="both"/>
      </w:pPr>
    </w:p>
    <w:p w14:paraId="3C60E37E" w14:textId="4222C260" w:rsidR="000359A0" w:rsidRDefault="000359A0" w:rsidP="00B97C7C">
      <w:pPr>
        <w:spacing w:after="0" w:line="240" w:lineRule="auto"/>
        <w:jc w:val="both"/>
      </w:pPr>
      <w:r>
        <w:t>Le législateur a ensuite autorisé</w:t>
      </w:r>
      <w:r>
        <w:rPr>
          <w:rStyle w:val="Appelnotedebasdep"/>
        </w:rPr>
        <w:footnoteReference w:id="7"/>
      </w:r>
      <w:r>
        <w:t>, à titre dérogatoire, la culture, l’importation et l’exportation, ainsi que l’utilisation industrielle et commerciale de la plante de cannabis</w:t>
      </w:r>
      <w:r w:rsidR="00A5213C">
        <w:t>,</w:t>
      </w:r>
      <w:r>
        <w:t xml:space="preserve"> dès lors qu’elle : </w:t>
      </w:r>
    </w:p>
    <w:p w14:paraId="759B0F03" w14:textId="747CDE06" w:rsidR="000359A0" w:rsidRDefault="000359A0" w:rsidP="000359A0">
      <w:pPr>
        <w:pStyle w:val="Paragraphedeliste"/>
        <w:numPr>
          <w:ilvl w:val="0"/>
          <w:numId w:val="9"/>
        </w:numPr>
        <w:spacing w:after="0" w:line="240" w:lineRule="auto"/>
        <w:jc w:val="both"/>
      </w:pPr>
      <w:proofErr w:type="gramStart"/>
      <w:r>
        <w:t>appartient</w:t>
      </w:r>
      <w:proofErr w:type="gramEnd"/>
      <w:r>
        <w:t xml:space="preserve"> à la catégorie Cannabis Sativa L (seule variété autorisée)</w:t>
      </w:r>
    </w:p>
    <w:p w14:paraId="674CC092" w14:textId="3C835E69" w:rsidR="000359A0" w:rsidRDefault="000359A0" w:rsidP="00E133F3">
      <w:pPr>
        <w:pStyle w:val="Paragraphedeliste"/>
        <w:numPr>
          <w:ilvl w:val="0"/>
          <w:numId w:val="9"/>
        </w:numPr>
        <w:spacing w:after="0" w:line="240" w:lineRule="auto"/>
        <w:jc w:val="both"/>
      </w:pPr>
      <w:proofErr w:type="gramStart"/>
      <w:r>
        <w:t>contient</w:t>
      </w:r>
      <w:proofErr w:type="gramEnd"/>
      <w:r>
        <w:t xml:space="preserve"> moins de 0,20% de </w:t>
      </w:r>
      <w:r w:rsidRPr="006229C3">
        <w:t>delta-9-tétrahydrocannabinol</w:t>
      </w:r>
      <w:r>
        <w:t>.</w:t>
      </w:r>
      <w:r w:rsidRPr="006229C3">
        <w:t xml:space="preserve"> </w:t>
      </w:r>
    </w:p>
    <w:p w14:paraId="790E814D" w14:textId="519722BD" w:rsidR="000359A0" w:rsidRDefault="000359A0" w:rsidP="000359A0">
      <w:pPr>
        <w:spacing w:after="0" w:line="240" w:lineRule="auto"/>
        <w:jc w:val="both"/>
      </w:pPr>
    </w:p>
    <w:p w14:paraId="2E1C938A" w14:textId="5D632296" w:rsidR="000359A0" w:rsidRDefault="000359A0" w:rsidP="000359A0">
      <w:pPr>
        <w:spacing w:after="0" w:line="240" w:lineRule="auto"/>
        <w:jc w:val="both"/>
      </w:pPr>
      <w:r>
        <w:t xml:space="preserve">Cependant, seules les graines et fibres de cannabis peuvent être utilisées dans le cadre de la fabrication de produits </w:t>
      </w:r>
      <w:r w:rsidR="00001801">
        <w:t>à base</w:t>
      </w:r>
      <w:r>
        <w:t xml:space="preserve"> d</w:t>
      </w:r>
      <w:r w:rsidR="00A5213C">
        <w:t>e</w:t>
      </w:r>
      <w:r>
        <w:t xml:space="preserve"> cannabis. A contrario, sont interdit</w:t>
      </w:r>
      <w:r w:rsidR="001F52A4">
        <w:t>s</w:t>
      </w:r>
      <w:r>
        <w:t xml:space="preserve"> la fabrication et la commercialisation de produits </w:t>
      </w:r>
      <w:r w:rsidR="00001801">
        <w:t>à base</w:t>
      </w:r>
      <w:r>
        <w:t xml:space="preserve"> d</w:t>
      </w:r>
      <w:r w:rsidR="00A5213C">
        <w:t>e</w:t>
      </w:r>
      <w:r>
        <w:t xml:space="preserve"> cannabis issus d’autres parties d</w:t>
      </w:r>
      <w:r w:rsidR="00A5213C">
        <w:t>e</w:t>
      </w:r>
      <w:r>
        <w:t xml:space="preserve"> cannabis</w:t>
      </w:r>
      <w:r w:rsidR="00A5213C">
        <w:t>,</w:t>
      </w:r>
      <w:r>
        <w:t xml:space="preserve"> comme les feuilles ou les fleurs, quand bien même celles-ci ne contiendraient pas de THC</w:t>
      </w:r>
      <w:r w:rsidR="004809C8">
        <w:t>.</w:t>
      </w:r>
    </w:p>
    <w:p w14:paraId="0C1E7267" w14:textId="77777777" w:rsidR="00AB345A" w:rsidRDefault="00AB345A" w:rsidP="00B97C7C">
      <w:pPr>
        <w:spacing w:after="0" w:line="240" w:lineRule="auto"/>
        <w:jc w:val="both"/>
      </w:pPr>
    </w:p>
    <w:p w14:paraId="466554BB" w14:textId="3F32C1D0" w:rsidR="00AB345A" w:rsidRDefault="004809C8" w:rsidP="00B97C7C">
      <w:pPr>
        <w:spacing w:after="0" w:line="240" w:lineRule="auto"/>
        <w:jc w:val="both"/>
      </w:pPr>
      <w:r>
        <w:t>Sur ce point, un arrêté visant à étendre l’utilisation de toutes les parties de la plante de cannabis dépourvue de propriétés stupéfiante</w:t>
      </w:r>
      <w:r w:rsidR="00A5213C">
        <w:t>s</w:t>
      </w:r>
      <w:r>
        <w:t xml:space="preserve"> devrait bientôt être promulgué afin de tirer les conséquence</w:t>
      </w:r>
      <w:r w:rsidR="00381D9A">
        <w:t>s</w:t>
      </w:r>
      <w:r>
        <w:t xml:space="preserve"> d’un récent arrêt de la Cour de Justice de l’Union Européenne</w:t>
      </w:r>
      <w:r w:rsidR="00757A24">
        <w:t xml:space="preserve"> (CJUE)</w:t>
      </w:r>
      <w:r>
        <w:t>.</w:t>
      </w:r>
    </w:p>
    <w:p w14:paraId="4A713772" w14:textId="77777777" w:rsidR="00AB345A" w:rsidRDefault="00AB345A" w:rsidP="00B97C7C">
      <w:pPr>
        <w:spacing w:after="0" w:line="240" w:lineRule="auto"/>
        <w:jc w:val="both"/>
      </w:pPr>
    </w:p>
    <w:p w14:paraId="0D04FF31" w14:textId="30505563" w:rsidR="001217E0" w:rsidRDefault="00AB345A" w:rsidP="00C5138D">
      <w:pPr>
        <w:spacing w:after="0" w:line="240" w:lineRule="auto"/>
        <w:jc w:val="both"/>
      </w:pPr>
      <w:r>
        <w:t xml:space="preserve">En effet, </w:t>
      </w:r>
      <w:r w:rsidR="004809C8">
        <w:t>la CJUE a jugé dans un arrêt</w:t>
      </w:r>
      <w:r>
        <w:t xml:space="preserve"> </w:t>
      </w:r>
      <w:r w:rsidR="00F90A0B">
        <w:t>« </w:t>
      </w:r>
      <w:proofErr w:type="spellStart"/>
      <w:r w:rsidR="00F90A0B">
        <w:t>Kanavape</w:t>
      </w:r>
      <w:proofErr w:type="spellEnd"/>
      <w:r w:rsidR="00F90A0B">
        <w:t> »</w:t>
      </w:r>
      <w:r w:rsidR="00F90A0B">
        <w:rPr>
          <w:rStyle w:val="Appelnotedebasdep"/>
        </w:rPr>
        <w:footnoteReference w:id="8"/>
      </w:r>
      <w:r w:rsidR="00F90A0B">
        <w:t>,</w:t>
      </w:r>
      <w:r>
        <w:t xml:space="preserve"> </w:t>
      </w:r>
      <w:r w:rsidR="001217E0">
        <w:t>très largement commenté</w:t>
      </w:r>
      <w:r w:rsidR="00197156">
        <w:t xml:space="preserve">, que </w:t>
      </w:r>
      <w:r w:rsidR="00AA7EFB">
        <w:t>le droit français</w:t>
      </w:r>
      <w:r w:rsidR="00F90A0B">
        <w:t>,</w:t>
      </w:r>
      <w:r w:rsidR="00AA7EFB" w:rsidRPr="00AA7EFB">
        <w:t xml:space="preserve"> qui interdit la commercialisation du CBD</w:t>
      </w:r>
      <w:r w:rsidR="00C5138D">
        <w:t xml:space="preserve"> légalement produit dans un autre État membre</w:t>
      </w:r>
      <w:r w:rsidR="00AA7EFB" w:rsidRPr="00AA7EFB">
        <w:t xml:space="preserve"> lorsqu'il </w:t>
      </w:r>
      <w:r w:rsidR="00AA7EFB">
        <w:t>n’</w:t>
      </w:r>
      <w:r w:rsidR="00AA7EFB" w:rsidRPr="00AA7EFB">
        <w:t>est</w:t>
      </w:r>
      <w:r w:rsidR="00AA7EFB">
        <w:t xml:space="preserve"> pas extrait des graines et des fibres </w:t>
      </w:r>
      <w:r w:rsidR="00AA7EFB" w:rsidRPr="00AA7EFB">
        <w:t>de la plante Cannabis sativa</w:t>
      </w:r>
      <w:r w:rsidR="008C4973">
        <w:t xml:space="preserve"> L</w:t>
      </w:r>
      <w:r w:rsidR="00F90A0B">
        <w:t>,</w:t>
      </w:r>
      <w:r w:rsidR="00AA7EFB" w:rsidRPr="00AA7EFB">
        <w:t xml:space="preserve"> n'est pas conforme au droit européen</w:t>
      </w:r>
      <w:r w:rsidR="006C5272">
        <w:t xml:space="preserve"> </w:t>
      </w:r>
      <w:r w:rsidR="006C5272" w:rsidRPr="00C5138D">
        <w:t xml:space="preserve">en ce qu’il s’apparente </w:t>
      </w:r>
      <w:r w:rsidR="00A5213C">
        <w:t xml:space="preserve">à des </w:t>
      </w:r>
      <w:r w:rsidR="00757A24">
        <w:t>mesures d’effet équivalent à des restrictions quantitatives à l’importation, contraire</w:t>
      </w:r>
      <w:r w:rsidR="00A5213C">
        <w:t>s</w:t>
      </w:r>
      <w:r w:rsidR="00757A24">
        <w:t xml:space="preserve"> au principe de libre circulation des marchandises</w:t>
      </w:r>
      <w:r w:rsidR="00757A24">
        <w:rPr>
          <w:rStyle w:val="Appelnotedebasdep"/>
        </w:rPr>
        <w:footnoteReference w:id="9"/>
      </w:r>
      <w:r w:rsidR="00757A24">
        <w:t xml:space="preserve">. </w:t>
      </w:r>
    </w:p>
    <w:p w14:paraId="316109EE" w14:textId="77777777" w:rsidR="00F90A0B" w:rsidRDefault="00F90A0B" w:rsidP="00B97C7C">
      <w:pPr>
        <w:spacing w:after="0" w:line="240" w:lineRule="auto"/>
        <w:jc w:val="both"/>
      </w:pPr>
    </w:p>
    <w:p w14:paraId="1F4DA9F2" w14:textId="147D4181" w:rsidR="006229C3" w:rsidRDefault="00381D9A" w:rsidP="00B97C7C">
      <w:pPr>
        <w:spacing w:after="0" w:line="240" w:lineRule="auto"/>
        <w:jc w:val="both"/>
      </w:pPr>
      <w:r>
        <w:t xml:space="preserve">Le projet d’arrêté soumis à la Commission Européenne début juillet </w:t>
      </w:r>
      <w:r w:rsidR="006229C3" w:rsidRPr="006229C3">
        <w:t>prévoit</w:t>
      </w:r>
      <w:r>
        <w:t xml:space="preserve"> ainsi</w:t>
      </w:r>
      <w:r w:rsidR="006229C3" w:rsidRPr="006229C3">
        <w:t xml:space="preserve"> la possibilité de cultiver, d'importer, d'exporter et d'utiliser à des fins commerciales et industrielles toute partie du Cannabis Sativa L dès lors </w:t>
      </w:r>
      <w:r w:rsidR="00D44C07">
        <w:t>qu’</w:t>
      </w:r>
      <w:r w:rsidR="001F52A4">
        <w:t>il</w:t>
      </w:r>
      <w:r w:rsidR="006229C3" w:rsidRPr="006229C3">
        <w:t xml:space="preserve"> a une teneur en delta-9-tétrahydrocannabinol</w:t>
      </w:r>
      <w:r w:rsidR="006229C3">
        <w:t xml:space="preserve"> </w:t>
      </w:r>
      <w:r w:rsidR="006229C3" w:rsidRPr="006229C3">
        <w:t xml:space="preserve">inférieure à 0,20%. </w:t>
      </w:r>
      <w:r w:rsidR="006229C3">
        <w:t>A noter que l</w:t>
      </w:r>
      <w:r w:rsidR="006229C3" w:rsidRPr="006229C3">
        <w:t xml:space="preserve">e projet </w:t>
      </w:r>
      <w:r w:rsidR="006229C3">
        <w:t>prévoit</w:t>
      </w:r>
      <w:r w:rsidR="006229C3" w:rsidRPr="006229C3">
        <w:t xml:space="preserve"> néanmoins certaines restrictions pour les fleurs et les feuilles.</w:t>
      </w:r>
      <w:r w:rsidR="006229C3">
        <w:t xml:space="preserve"> </w:t>
      </w:r>
    </w:p>
    <w:p w14:paraId="00D589E4" w14:textId="25DC9C8F" w:rsidR="006229C3" w:rsidRDefault="006229C3" w:rsidP="00B97C7C">
      <w:pPr>
        <w:spacing w:after="0" w:line="240" w:lineRule="auto"/>
        <w:jc w:val="both"/>
      </w:pPr>
    </w:p>
    <w:p w14:paraId="1B6ECDA7" w14:textId="2F150E89" w:rsidR="006229C3" w:rsidRDefault="00381D9A" w:rsidP="00B97C7C">
      <w:pPr>
        <w:spacing w:after="0" w:line="240" w:lineRule="auto"/>
        <w:jc w:val="both"/>
      </w:pPr>
      <w:r>
        <w:t xml:space="preserve">Ce projet devrait être publié d’ici la fin de l’année 2021. </w:t>
      </w:r>
      <w:r w:rsidR="006229C3">
        <w:t xml:space="preserve">A suivre donc … </w:t>
      </w:r>
    </w:p>
    <w:p w14:paraId="1546121E" w14:textId="77777777" w:rsidR="00475F4C" w:rsidRDefault="00475F4C" w:rsidP="00B97C7C">
      <w:pPr>
        <w:spacing w:after="0" w:line="240" w:lineRule="auto"/>
        <w:jc w:val="both"/>
      </w:pPr>
    </w:p>
    <w:p w14:paraId="2B632588" w14:textId="4F9DC754" w:rsidR="00A1319E" w:rsidRPr="00900D64" w:rsidRDefault="00900D64" w:rsidP="00900D64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/>
          <w:bCs/>
          <w:color w:val="3333FF"/>
        </w:rPr>
      </w:pPr>
      <w:r>
        <w:rPr>
          <w:b/>
          <w:bCs/>
          <w:color w:val="3333FF"/>
        </w:rPr>
        <w:t>Le commerce d</w:t>
      </w:r>
      <w:r w:rsidR="008D35B3">
        <w:rPr>
          <w:b/>
          <w:bCs/>
          <w:color w:val="3333FF"/>
        </w:rPr>
        <w:t>e</w:t>
      </w:r>
      <w:r>
        <w:rPr>
          <w:b/>
          <w:bCs/>
          <w:color w:val="3333FF"/>
        </w:rPr>
        <w:t xml:space="preserve"> cannabis à des fins </w:t>
      </w:r>
      <w:r w:rsidR="008D35B3">
        <w:rPr>
          <w:b/>
          <w:bCs/>
          <w:color w:val="3333FF"/>
        </w:rPr>
        <w:t>thérapeutiques</w:t>
      </w:r>
      <w:r w:rsidR="000D507E" w:rsidRPr="00900D64">
        <w:rPr>
          <w:b/>
          <w:bCs/>
          <w:color w:val="3333FF"/>
        </w:rPr>
        <w:t xml:space="preserve"> </w:t>
      </w:r>
    </w:p>
    <w:p w14:paraId="3E5C74E0" w14:textId="4AE0A9D8" w:rsidR="00A1319E" w:rsidRDefault="00A1319E" w:rsidP="00B97C7C">
      <w:pPr>
        <w:spacing w:after="0" w:line="240" w:lineRule="auto"/>
        <w:jc w:val="both"/>
      </w:pPr>
    </w:p>
    <w:p w14:paraId="2C24AC84" w14:textId="7985E04B" w:rsidR="00381D9A" w:rsidRDefault="00F90A0B" w:rsidP="00B97C7C">
      <w:pPr>
        <w:spacing w:after="0" w:line="240" w:lineRule="auto"/>
        <w:jc w:val="both"/>
      </w:pPr>
      <w:r>
        <w:t xml:space="preserve">Enfin, </w:t>
      </w:r>
      <w:r w:rsidR="00381D9A">
        <w:t>le législateur français a ouvert en 2013</w:t>
      </w:r>
      <w:r w:rsidR="00381D9A">
        <w:rPr>
          <w:rStyle w:val="Appelnotedebasdep"/>
        </w:rPr>
        <w:footnoteReference w:id="10"/>
      </w:r>
      <w:r w:rsidR="00381D9A">
        <w:t xml:space="preserve"> la possibilité de réaliser certaines opérations </w:t>
      </w:r>
      <w:r w:rsidR="00381D9A" w:rsidRPr="0020148E">
        <w:t>port</w:t>
      </w:r>
      <w:r w:rsidR="00381D9A">
        <w:t>a</w:t>
      </w:r>
      <w:r w:rsidR="00381D9A" w:rsidRPr="0020148E">
        <w:t>nt sur des spécialités pharmaceutiques contenant</w:t>
      </w:r>
      <w:r w:rsidR="00381D9A">
        <w:t xml:space="preserve"> du cannabis ou </w:t>
      </w:r>
      <w:r w:rsidR="00A5213C">
        <w:t>du</w:t>
      </w:r>
      <w:r w:rsidR="00381D9A">
        <w:t xml:space="preserve"> THC. </w:t>
      </w:r>
    </w:p>
    <w:p w14:paraId="1702C8A0" w14:textId="77777777" w:rsidR="00F90A0B" w:rsidRDefault="00F90A0B" w:rsidP="00B97C7C">
      <w:pPr>
        <w:spacing w:after="0" w:line="240" w:lineRule="auto"/>
        <w:jc w:val="both"/>
      </w:pPr>
    </w:p>
    <w:p w14:paraId="6346C25F" w14:textId="29C181B7" w:rsidR="0020148E" w:rsidRDefault="00900D64" w:rsidP="00900D64">
      <w:pPr>
        <w:spacing w:after="0" w:line="240" w:lineRule="auto"/>
        <w:jc w:val="both"/>
      </w:pPr>
      <w:r>
        <w:lastRenderedPageBreak/>
        <w:t xml:space="preserve">Sont </w:t>
      </w:r>
      <w:r w:rsidR="00381D9A">
        <w:t xml:space="preserve">ainsi </w:t>
      </w:r>
      <w:r>
        <w:t>autorisées les opérations de</w:t>
      </w:r>
      <w:r w:rsidR="00381D9A">
        <w:t xml:space="preserve"> </w:t>
      </w:r>
      <w:r w:rsidR="0020148E" w:rsidRPr="0020148E">
        <w:t>fabrication, transport,</w:t>
      </w:r>
      <w:r w:rsidR="00381D9A">
        <w:t xml:space="preserve"> </w:t>
      </w:r>
      <w:r w:rsidR="0020148E" w:rsidRPr="0020148E">
        <w:t>importation,</w:t>
      </w:r>
      <w:r w:rsidR="00381D9A">
        <w:t xml:space="preserve"> </w:t>
      </w:r>
      <w:r w:rsidR="0020148E" w:rsidRPr="0020148E">
        <w:t>exportation,</w:t>
      </w:r>
      <w:r w:rsidR="00381D9A">
        <w:t xml:space="preserve"> </w:t>
      </w:r>
      <w:r w:rsidR="0020148E" w:rsidRPr="0020148E">
        <w:t>détention,</w:t>
      </w:r>
      <w:r w:rsidR="00381D9A">
        <w:t xml:space="preserve"> </w:t>
      </w:r>
      <w:r w:rsidR="0020148E" w:rsidRPr="0020148E">
        <w:t>offre,</w:t>
      </w:r>
      <w:r w:rsidR="00381D9A">
        <w:t xml:space="preserve"> </w:t>
      </w:r>
      <w:r w:rsidR="0020148E" w:rsidRPr="0020148E">
        <w:t>cession,</w:t>
      </w:r>
      <w:r w:rsidR="00381D9A">
        <w:t xml:space="preserve"> </w:t>
      </w:r>
      <w:r w:rsidR="0020148E" w:rsidRPr="0020148E">
        <w:t>acquisition</w:t>
      </w:r>
      <w:r w:rsidR="00381D9A">
        <w:t xml:space="preserve"> et </w:t>
      </w:r>
      <w:r w:rsidR="0020148E" w:rsidRPr="0020148E">
        <w:t>emploi</w:t>
      </w:r>
      <w:r w:rsidR="00381D9A">
        <w:t xml:space="preserve"> de </w:t>
      </w:r>
      <w:r w:rsidR="0020148E" w:rsidRPr="0020148E">
        <w:t xml:space="preserve">spécialités pharmaceutiques </w:t>
      </w:r>
      <w:r w:rsidR="00381D9A">
        <w:t>à base de cannabis, ayant fait</w:t>
      </w:r>
      <w:r w:rsidR="0020148E">
        <w:t xml:space="preserve"> l’objet d’une autorisation de mise sur le marché</w:t>
      </w:r>
      <w:r w:rsidR="0020148E">
        <w:rPr>
          <w:rStyle w:val="Appelnotedebasdep"/>
        </w:rPr>
        <w:footnoteReference w:id="11"/>
      </w:r>
      <w:r w:rsidR="00D54850">
        <w:t xml:space="preserve"> (</w:t>
      </w:r>
      <w:r>
        <w:t>y compris</w:t>
      </w:r>
      <w:r w:rsidR="00D54850">
        <w:t xml:space="preserve"> les autorisations d’accès précoce). </w:t>
      </w:r>
    </w:p>
    <w:p w14:paraId="6AD4B223" w14:textId="60D74F4E" w:rsidR="0020148E" w:rsidRDefault="0020148E" w:rsidP="00B97C7C">
      <w:pPr>
        <w:spacing w:after="0" w:line="240" w:lineRule="auto"/>
        <w:jc w:val="both"/>
      </w:pPr>
    </w:p>
    <w:p w14:paraId="3F0A517B" w14:textId="1C3BDFBF" w:rsidR="00F90A0B" w:rsidRDefault="00F90A0B" w:rsidP="00B97C7C">
      <w:pPr>
        <w:spacing w:after="0" w:line="240" w:lineRule="auto"/>
        <w:jc w:val="both"/>
      </w:pPr>
      <w:r>
        <w:t xml:space="preserve">A noter qu’ici les opérations portent sur les spécialités pharmaceutiques </w:t>
      </w:r>
      <w:r w:rsidR="00C41426">
        <w:t>à base de cannabis et non pas sur le cannabis lui-même. L</w:t>
      </w:r>
      <w:r>
        <w:t xml:space="preserve">a culture et la production de cannabis ne sont </w:t>
      </w:r>
      <w:r w:rsidR="00C41426">
        <w:t>donc logiquement pas admises</w:t>
      </w:r>
      <w:r>
        <w:t xml:space="preserve">. </w:t>
      </w:r>
    </w:p>
    <w:p w14:paraId="2625E694" w14:textId="77777777" w:rsidR="00F90A0B" w:rsidRDefault="00F90A0B" w:rsidP="00B97C7C">
      <w:pPr>
        <w:spacing w:after="0" w:line="240" w:lineRule="auto"/>
        <w:jc w:val="both"/>
      </w:pPr>
    </w:p>
    <w:p w14:paraId="2D778A47" w14:textId="7156E2BB" w:rsidR="008507C3" w:rsidRDefault="00C41426" w:rsidP="00B97C7C">
      <w:pPr>
        <w:spacing w:after="0" w:line="240" w:lineRule="auto"/>
        <w:jc w:val="both"/>
      </w:pPr>
      <w:r>
        <w:t>Deu</w:t>
      </w:r>
      <w:r w:rsidR="0071379C" w:rsidRPr="0071379C">
        <w:t>x médicaments</w:t>
      </w:r>
      <w:r w:rsidR="0071379C">
        <w:t xml:space="preserve">, </w:t>
      </w:r>
      <w:r w:rsidR="00D44C07">
        <w:t xml:space="preserve">le </w:t>
      </w:r>
      <w:proofErr w:type="spellStart"/>
      <w:r w:rsidR="00D44C07">
        <w:t>Sativex</w:t>
      </w:r>
      <w:proofErr w:type="spellEnd"/>
      <w:r w:rsidR="00D44C07">
        <w:rPr>
          <w:rFonts w:cstheme="minorHAnsi"/>
        </w:rPr>
        <w:t>®</w:t>
      </w:r>
      <w:r w:rsidR="00D44C07">
        <w:t xml:space="preserve"> et le </w:t>
      </w:r>
      <w:proofErr w:type="spellStart"/>
      <w:r w:rsidR="00D44C07">
        <w:t>Marinol</w:t>
      </w:r>
      <w:proofErr w:type="spellEnd"/>
      <w:r w:rsidR="00D44C07">
        <w:rPr>
          <w:rFonts w:cstheme="minorHAnsi"/>
        </w:rPr>
        <w:t>®</w:t>
      </w:r>
      <w:r w:rsidR="00D44C07">
        <w:t xml:space="preserve">, tous deux </w:t>
      </w:r>
      <w:r w:rsidR="0071379C">
        <w:t>à base de THC et de CBD</w:t>
      </w:r>
      <w:r w:rsidR="00D44C07">
        <w:t>,</w:t>
      </w:r>
      <w:r w:rsidR="0071379C">
        <w:t xml:space="preserve"> ont</w:t>
      </w:r>
      <w:r w:rsidR="0071379C" w:rsidRPr="0071379C">
        <w:t xml:space="preserve"> </w:t>
      </w:r>
      <w:r>
        <w:t xml:space="preserve">ainsi </w:t>
      </w:r>
      <w:r w:rsidR="0071379C">
        <w:t>obtenu une</w:t>
      </w:r>
      <w:r w:rsidR="0071379C" w:rsidRPr="0071379C">
        <w:t xml:space="preserve"> </w:t>
      </w:r>
      <w:r w:rsidR="0071379C">
        <w:t>autorisation de mise sur le marché</w:t>
      </w:r>
      <w:r w:rsidR="00C31A1E">
        <w:t xml:space="preserve">, </w:t>
      </w:r>
      <w:r>
        <w:t xml:space="preserve">respectivement </w:t>
      </w:r>
      <w:r w:rsidR="00C31A1E">
        <w:t xml:space="preserve">en 2014 et 2018. Ils </w:t>
      </w:r>
      <w:r w:rsidR="0071379C">
        <w:t>n’ont</w:t>
      </w:r>
      <w:r w:rsidR="00C31A1E">
        <w:t xml:space="preserve"> cependant</w:t>
      </w:r>
      <w:r w:rsidR="0071379C">
        <w:t xml:space="preserve"> jamais été commercialisés</w:t>
      </w:r>
      <w:r w:rsidR="00C31A1E">
        <w:t>,</w:t>
      </w:r>
      <w:r w:rsidR="0071379C">
        <w:t xml:space="preserve"> </w:t>
      </w:r>
      <w:r w:rsidR="0071379C" w:rsidRPr="0071379C">
        <w:t>faute d’accord sur le prix</w:t>
      </w:r>
      <w:r w:rsidR="0071379C">
        <w:t xml:space="preserve"> pour le premier</w:t>
      </w:r>
      <w:r w:rsidR="0071379C" w:rsidRPr="0071379C">
        <w:t xml:space="preserve"> et le second</w:t>
      </w:r>
      <w:r w:rsidR="0071379C">
        <w:t xml:space="preserve"> </w:t>
      </w:r>
      <w:r w:rsidR="00D44C07">
        <w:t>étant toujours en attente des</w:t>
      </w:r>
      <w:r w:rsidR="0071379C" w:rsidRPr="0071379C">
        <w:t xml:space="preserve"> avis de la commission de transparence de la Haute Autorité de santé (HAS) et du Comité économique des produits de santé (CEPS).</w:t>
      </w:r>
      <w:r w:rsidR="0071379C">
        <w:t xml:space="preserve"> </w:t>
      </w:r>
    </w:p>
    <w:p w14:paraId="2254063F" w14:textId="0C80719C" w:rsidR="009D101E" w:rsidRDefault="009D101E" w:rsidP="00B97C7C">
      <w:pPr>
        <w:spacing w:after="0" w:line="240" w:lineRule="auto"/>
        <w:jc w:val="both"/>
      </w:pPr>
    </w:p>
    <w:p w14:paraId="0ECF7829" w14:textId="77777777" w:rsidR="00C31A1E" w:rsidRDefault="009D101E" w:rsidP="009D101E">
      <w:pPr>
        <w:spacing w:after="0" w:line="240" w:lineRule="auto"/>
        <w:jc w:val="both"/>
      </w:pPr>
      <w:r>
        <w:t xml:space="preserve">En parallèle </w:t>
      </w:r>
      <w:r w:rsidR="00C31A1E">
        <w:t>de cette exception</w:t>
      </w:r>
      <w:r>
        <w:t xml:space="preserve">, </w:t>
      </w:r>
      <w:r w:rsidR="00C31A1E">
        <w:t>la loi de financement de la sécurité sociale pour 2020 pose les jalons d’</w:t>
      </w:r>
      <w:r>
        <w:t>une expérimentation</w:t>
      </w:r>
      <w:r w:rsidR="00C31A1E">
        <w:t xml:space="preserve"> nationale relative à</w:t>
      </w:r>
      <w:r>
        <w:t xml:space="preserve"> l’usage médical du cannabis</w:t>
      </w:r>
      <w:r>
        <w:rPr>
          <w:rStyle w:val="Appelnotedebasdep"/>
        </w:rPr>
        <w:footnoteReference w:id="12"/>
      </w:r>
      <w:r>
        <w:t xml:space="preserve"> </w:t>
      </w:r>
      <w:r w:rsidR="00C31A1E">
        <w:t xml:space="preserve">visant à </w:t>
      </w:r>
    </w:p>
    <w:p w14:paraId="754E6A6F" w14:textId="6DAD75FC" w:rsidR="00C31A1E" w:rsidRDefault="009D101E" w:rsidP="00C31A1E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évaluer</w:t>
      </w:r>
      <w:proofErr w:type="gramEnd"/>
      <w:r>
        <w:t xml:space="preserve"> la faisabilité du circuit de mise à disposition du cannabis pour les patients (prescription par les médecins, délivrance par les pharmaciens, approvisionnement en produits et suivi des patients) et </w:t>
      </w:r>
    </w:p>
    <w:p w14:paraId="36933587" w14:textId="4AFAE211" w:rsidR="009D101E" w:rsidRDefault="009D101E" w:rsidP="00C31A1E">
      <w:pPr>
        <w:pStyle w:val="Paragraphedeliste"/>
        <w:numPr>
          <w:ilvl w:val="0"/>
          <w:numId w:val="8"/>
        </w:numPr>
        <w:spacing w:after="0" w:line="240" w:lineRule="auto"/>
        <w:jc w:val="both"/>
      </w:pPr>
      <w:proofErr w:type="gramStart"/>
      <w:r>
        <w:t>recueillir</w:t>
      </w:r>
      <w:proofErr w:type="gramEnd"/>
      <w:r>
        <w:t xml:space="preserve"> les premières données françaises sur l’efficacité et la sécurité de son utilisation dans un cadre médical en vue de déterminer si elle pourra, à terme, être généralisée.</w:t>
      </w:r>
    </w:p>
    <w:p w14:paraId="1E1B503D" w14:textId="77777777" w:rsidR="008507C3" w:rsidRDefault="008507C3" w:rsidP="00B97C7C">
      <w:pPr>
        <w:spacing w:after="0" w:line="240" w:lineRule="auto"/>
        <w:jc w:val="both"/>
      </w:pPr>
    </w:p>
    <w:p w14:paraId="2B495914" w14:textId="6AF432D4" w:rsidR="001E7EEF" w:rsidRDefault="001F52A4" w:rsidP="00B97C7C">
      <w:pPr>
        <w:spacing w:after="0" w:line="240" w:lineRule="auto"/>
        <w:jc w:val="both"/>
      </w:pPr>
      <w:r>
        <w:t xml:space="preserve">Dans le cadre de </w:t>
      </w:r>
      <w:r w:rsidR="00A5213C">
        <w:t xml:space="preserve">cette </w:t>
      </w:r>
      <w:r>
        <w:t>expérimentation, l</w:t>
      </w:r>
      <w:r w:rsidR="00C31A1E">
        <w:t>a prescription de médicament</w:t>
      </w:r>
      <w:r>
        <w:t>s</w:t>
      </w:r>
      <w:r w:rsidR="00C31A1E">
        <w:t xml:space="preserve"> contenant du cannabis, </w:t>
      </w:r>
      <w:r w:rsidR="00E63258">
        <w:t>est</w:t>
      </w:r>
      <w:r w:rsidR="00C31A1E">
        <w:t xml:space="preserve"> autorisée</w:t>
      </w:r>
      <w:r w:rsidR="00E63258">
        <w:t>, en seconde intention,</w:t>
      </w:r>
      <w:r w:rsidR="00C31A1E">
        <w:t xml:space="preserve"> pour les pathologies suivantes </w:t>
      </w:r>
      <w:r w:rsidR="001E7EEF">
        <w:rPr>
          <w:rStyle w:val="Appelnotedebasdep"/>
        </w:rPr>
        <w:footnoteReference w:id="13"/>
      </w:r>
      <w:r w:rsidR="001E7EEF">
        <w:t xml:space="preserve"> : </w:t>
      </w:r>
    </w:p>
    <w:p w14:paraId="37EB20C5" w14:textId="77777777" w:rsidR="001E7EEF" w:rsidRDefault="001E7EEF" w:rsidP="00B97C7C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t>les</w:t>
      </w:r>
      <w:proofErr w:type="gramEnd"/>
      <w:r>
        <w:t xml:space="preserve"> douleurs neuropathiques réfractaires aux thérapies (médicamenteuses ou non) accessibles  ;</w:t>
      </w:r>
    </w:p>
    <w:p w14:paraId="5254EA80" w14:textId="77777777" w:rsidR="001E7EEF" w:rsidRDefault="001E7EEF" w:rsidP="00B97C7C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t>certaines</w:t>
      </w:r>
      <w:proofErr w:type="gramEnd"/>
      <w:r>
        <w:t xml:space="preserve"> formes d'épilepsie pharmaco-résistantes ;</w:t>
      </w:r>
    </w:p>
    <w:p w14:paraId="1EB50E8A" w14:textId="77777777" w:rsidR="001E7EEF" w:rsidRDefault="001E7EEF" w:rsidP="00B97C7C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t>certains</w:t>
      </w:r>
      <w:proofErr w:type="gramEnd"/>
      <w:r>
        <w:t xml:space="preserve"> symptômes rebelles en oncologie liés au cancer ou au traitement anticancéreux ;</w:t>
      </w:r>
    </w:p>
    <w:p w14:paraId="22FB760A" w14:textId="77777777" w:rsidR="001E7EEF" w:rsidRDefault="001E7EEF" w:rsidP="00B97C7C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t>les</w:t>
      </w:r>
      <w:proofErr w:type="gramEnd"/>
      <w:r>
        <w:t xml:space="preserve"> situations palliatives ;</w:t>
      </w:r>
    </w:p>
    <w:p w14:paraId="23EC1010" w14:textId="77777777" w:rsidR="001E7EEF" w:rsidRDefault="001E7EEF" w:rsidP="00B97C7C">
      <w:pPr>
        <w:pStyle w:val="Paragraphedeliste"/>
        <w:numPr>
          <w:ilvl w:val="0"/>
          <w:numId w:val="2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spasticité douloureuse de la sclérose en plaques ou des autres pathologies du système nerveux central.</w:t>
      </w:r>
    </w:p>
    <w:p w14:paraId="3230F2A8" w14:textId="5E8DD604" w:rsidR="001E7EEF" w:rsidRDefault="001E7EEF" w:rsidP="00B97C7C">
      <w:pPr>
        <w:spacing w:after="0" w:line="240" w:lineRule="auto"/>
        <w:jc w:val="both"/>
      </w:pPr>
    </w:p>
    <w:p w14:paraId="02583232" w14:textId="1E570342" w:rsidR="00C41426" w:rsidRDefault="006C5272" w:rsidP="00B97C7C">
      <w:pPr>
        <w:spacing w:after="0" w:line="240" w:lineRule="auto"/>
        <w:jc w:val="both"/>
      </w:pPr>
      <w:r>
        <w:t>L</w:t>
      </w:r>
      <w:r w:rsidR="00C41426">
        <w:t xml:space="preserve">’ANSM a sélectionné des couples « fabricants / exploitants » habilités à produire et à distribuer les médicaments </w:t>
      </w:r>
      <w:r w:rsidR="00A5213C">
        <w:t>utilisés pour l’</w:t>
      </w:r>
      <w:r w:rsidR="00C41426">
        <w:t xml:space="preserve">expérimentation en France. </w:t>
      </w:r>
    </w:p>
    <w:p w14:paraId="4B93948C" w14:textId="77777777" w:rsidR="00C41426" w:rsidRDefault="00C41426" w:rsidP="00B97C7C">
      <w:pPr>
        <w:spacing w:after="0" w:line="240" w:lineRule="auto"/>
        <w:jc w:val="both"/>
      </w:pPr>
    </w:p>
    <w:p w14:paraId="261CADFC" w14:textId="5DB035EC" w:rsidR="00E63258" w:rsidRDefault="00E63258" w:rsidP="00B97C7C">
      <w:pPr>
        <w:spacing w:after="0" w:line="240" w:lineRule="auto"/>
        <w:jc w:val="both"/>
      </w:pPr>
      <w:r>
        <w:t xml:space="preserve">Compte tenu de la règlementation actuelle, aucun fabricant français n’a pu candidater pour </w:t>
      </w:r>
      <w:r w:rsidR="00C41426">
        <w:t>fabriquer c</w:t>
      </w:r>
      <w:r>
        <w:t>es médicaments</w:t>
      </w:r>
      <w:r w:rsidR="00C41426">
        <w:t xml:space="preserve">, </w:t>
      </w:r>
      <w:r>
        <w:t>la culture et la production</w:t>
      </w:r>
      <w:r w:rsidR="00C41426">
        <w:t xml:space="preserve"> de cannabis</w:t>
      </w:r>
      <w:r>
        <w:t xml:space="preserve"> </w:t>
      </w:r>
      <w:r w:rsidR="00C41426">
        <w:t xml:space="preserve">contenant plus de 0,20% de THC </w:t>
      </w:r>
      <w:r>
        <w:t>n’étant pas autorisées</w:t>
      </w:r>
      <w:r w:rsidR="00C41426">
        <w:t xml:space="preserve"> en l’état en France</w:t>
      </w:r>
      <w:r>
        <w:t xml:space="preserve">. </w:t>
      </w:r>
    </w:p>
    <w:p w14:paraId="5292A18A" w14:textId="77777777" w:rsidR="00E63258" w:rsidRDefault="00E63258" w:rsidP="00B97C7C">
      <w:pPr>
        <w:spacing w:after="0" w:line="240" w:lineRule="auto"/>
        <w:jc w:val="both"/>
      </w:pPr>
    </w:p>
    <w:p w14:paraId="49E24BAA" w14:textId="4C1188C2" w:rsidR="001F52A4" w:rsidRDefault="00E63258" w:rsidP="00B97C7C">
      <w:pPr>
        <w:spacing w:after="0" w:line="240" w:lineRule="auto"/>
        <w:jc w:val="both"/>
      </w:pPr>
      <w:r>
        <w:t>Si l’expérimentation devait aboutir à un élargissement du recours au cannabis</w:t>
      </w:r>
      <w:r w:rsidR="008D35B3">
        <w:t xml:space="preserve"> à des fins thérapeutiques</w:t>
      </w:r>
      <w:r>
        <w:t>,</w:t>
      </w:r>
      <w:r w:rsidR="00C41426">
        <w:t xml:space="preserve"> il nous semble que</w:t>
      </w:r>
      <w:r>
        <w:t xml:space="preserve"> </w:t>
      </w:r>
      <w:r w:rsidR="00C41426">
        <w:t>l’</w:t>
      </w:r>
      <w:r w:rsidR="001F52A4">
        <w:t>extension</w:t>
      </w:r>
      <w:r w:rsidR="00C41426">
        <w:t xml:space="preserve"> de la réglementation relative à la culture et à la production de cannabis</w:t>
      </w:r>
      <w:r w:rsidR="006C5272">
        <w:t xml:space="preserve"> </w:t>
      </w:r>
      <w:r w:rsidR="00C41426">
        <w:t>devrait être envisagée, afin de pouvoir réaliser ces opérations en France sans avoir recours à l’importation.</w:t>
      </w:r>
    </w:p>
    <w:p w14:paraId="501AF1D2" w14:textId="57B85524" w:rsidR="00B97C7C" w:rsidRDefault="00B97C7C" w:rsidP="00B97C7C">
      <w:pPr>
        <w:spacing w:after="0" w:line="240" w:lineRule="auto"/>
        <w:jc w:val="both"/>
      </w:pPr>
    </w:p>
    <w:p w14:paraId="3D242363" w14:textId="77777777" w:rsidR="00206A89" w:rsidRDefault="00206A89" w:rsidP="00B97C7C">
      <w:pPr>
        <w:spacing w:after="0" w:line="240" w:lineRule="auto"/>
        <w:jc w:val="both"/>
      </w:pPr>
    </w:p>
    <w:p w14:paraId="6D3AE9C2" w14:textId="1E202212" w:rsidR="00D44C07" w:rsidRDefault="00D44C07" w:rsidP="00D44C07">
      <w:pPr>
        <w:spacing w:after="0" w:line="240" w:lineRule="auto"/>
        <w:jc w:val="center"/>
      </w:pPr>
      <w:r>
        <w:t>***</w:t>
      </w:r>
    </w:p>
    <w:p w14:paraId="4D2E24E4" w14:textId="0FA73F00" w:rsidR="00D44C07" w:rsidRDefault="00A251AA" w:rsidP="00B97C7C">
      <w:pPr>
        <w:spacing w:after="0" w:line="240" w:lineRule="auto"/>
        <w:jc w:val="both"/>
      </w:pPr>
      <w:r>
        <w:t>La règlementation française applicable au cannabis évolue et est à surveiller. L’</w:t>
      </w:r>
      <w:r w:rsidR="002B4E47">
        <w:t>utilisation</w:t>
      </w:r>
      <w:r>
        <w:t xml:space="preserve"> du </w:t>
      </w:r>
      <w:r w:rsidR="002B4E47">
        <w:t>cannabis</w:t>
      </w:r>
      <w:r>
        <w:t xml:space="preserve"> à titre </w:t>
      </w:r>
      <w:r w:rsidR="002B4E47">
        <w:t>thérapeutique</w:t>
      </w:r>
      <w:r>
        <w:t xml:space="preserve"> de manière plus élargie devient envisageable. La France semble se rapprocher ainsi de la règlementation de nombreux autres pays de </w:t>
      </w:r>
      <w:r w:rsidR="002B4E47">
        <w:t>l’UE</w:t>
      </w:r>
      <w:r>
        <w:t xml:space="preserve"> a ce sujet</w:t>
      </w:r>
      <w:r w:rsidR="002B4E47">
        <w:t>.</w:t>
      </w:r>
      <w:r>
        <w:t xml:space="preserve"> </w:t>
      </w:r>
    </w:p>
    <w:p w14:paraId="27A119DD" w14:textId="77777777" w:rsidR="00A251AA" w:rsidRDefault="00A251AA" w:rsidP="00B97C7C">
      <w:pPr>
        <w:spacing w:after="0" w:line="240" w:lineRule="auto"/>
        <w:jc w:val="both"/>
      </w:pPr>
    </w:p>
    <w:p w14:paraId="6EF4375F" w14:textId="476CF962" w:rsidR="00A55A66" w:rsidRDefault="00A55A66" w:rsidP="00541020">
      <w:pPr>
        <w:jc w:val="both"/>
      </w:pPr>
    </w:p>
    <w:p w14:paraId="3EC16828" w14:textId="1CC5A641" w:rsidR="00A251AA" w:rsidRDefault="00A251AA" w:rsidP="00541020">
      <w:pPr>
        <w:jc w:val="both"/>
      </w:pPr>
    </w:p>
    <w:p w14:paraId="6587D3FE" w14:textId="26DCA2F2" w:rsidR="00A251AA" w:rsidRDefault="00A251AA" w:rsidP="00541020">
      <w:pPr>
        <w:jc w:val="both"/>
      </w:pPr>
    </w:p>
    <w:p w14:paraId="7963F86D" w14:textId="77777777" w:rsidR="00A251AA" w:rsidRDefault="00A251AA" w:rsidP="00541020">
      <w:pPr>
        <w:jc w:val="both"/>
      </w:pPr>
    </w:p>
    <w:sectPr w:rsidR="00A2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B907" w14:textId="77777777" w:rsidR="00541020" w:rsidRDefault="00541020" w:rsidP="00541020">
      <w:pPr>
        <w:spacing w:after="0" w:line="240" w:lineRule="auto"/>
      </w:pPr>
      <w:r>
        <w:separator/>
      </w:r>
    </w:p>
  </w:endnote>
  <w:endnote w:type="continuationSeparator" w:id="0">
    <w:p w14:paraId="04789AD7" w14:textId="77777777" w:rsidR="00541020" w:rsidRDefault="00541020" w:rsidP="0054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1E8B" w14:textId="77777777" w:rsidR="00541020" w:rsidRDefault="00541020" w:rsidP="00541020">
      <w:pPr>
        <w:spacing w:after="0" w:line="240" w:lineRule="auto"/>
      </w:pPr>
      <w:r>
        <w:separator/>
      </w:r>
    </w:p>
  </w:footnote>
  <w:footnote w:type="continuationSeparator" w:id="0">
    <w:p w14:paraId="7262C9CE" w14:textId="77777777" w:rsidR="00541020" w:rsidRDefault="00541020" w:rsidP="00541020">
      <w:pPr>
        <w:spacing w:after="0" w:line="240" w:lineRule="auto"/>
      </w:pPr>
      <w:r>
        <w:continuationSeparator/>
      </w:r>
    </w:p>
  </w:footnote>
  <w:footnote w:id="1">
    <w:p w14:paraId="202341EC" w14:textId="43CD4C0B" w:rsidR="002178EC" w:rsidRPr="002178EC" w:rsidRDefault="002178EC">
      <w:pPr>
        <w:pStyle w:val="Notedebasdepage"/>
        <w:rPr>
          <w:sz w:val="16"/>
          <w:szCs w:val="16"/>
        </w:rPr>
      </w:pPr>
      <w:r w:rsidRPr="002178EC">
        <w:rPr>
          <w:rStyle w:val="Appelnotedebasdep"/>
          <w:sz w:val="16"/>
          <w:szCs w:val="16"/>
        </w:rPr>
        <w:footnoteRef/>
      </w:r>
      <w:r w:rsidRPr="002178EC">
        <w:rPr>
          <w:sz w:val="16"/>
          <w:szCs w:val="16"/>
        </w:rPr>
        <w:t xml:space="preserve"> Arrêté du 22 février 1990 fixant la liste des substances classées comme stupéfiants</w:t>
      </w:r>
    </w:p>
  </w:footnote>
  <w:footnote w:id="2">
    <w:p w14:paraId="453502FD" w14:textId="77777777" w:rsidR="008C4973" w:rsidRPr="000B40EC" w:rsidRDefault="008C4973" w:rsidP="008C4973">
      <w:pPr>
        <w:pStyle w:val="Notedebasdepage"/>
        <w:rPr>
          <w:sz w:val="16"/>
          <w:szCs w:val="16"/>
        </w:rPr>
      </w:pPr>
      <w:r w:rsidRPr="000B40EC">
        <w:rPr>
          <w:rStyle w:val="Appelnotedebasdep"/>
          <w:sz w:val="16"/>
          <w:szCs w:val="16"/>
        </w:rPr>
        <w:footnoteRef/>
      </w:r>
      <w:r w:rsidRPr="000B40EC">
        <w:rPr>
          <w:sz w:val="16"/>
          <w:szCs w:val="16"/>
        </w:rPr>
        <w:t xml:space="preserve"> Article L5132-8 et R5132-86 I du Code de la santé publique </w:t>
      </w:r>
    </w:p>
  </w:footnote>
  <w:footnote w:id="3">
    <w:p w14:paraId="05790C48" w14:textId="18857E0C" w:rsidR="00516C3E" w:rsidRPr="00516C3E" w:rsidRDefault="00516C3E">
      <w:pPr>
        <w:pStyle w:val="Notedebasdepage"/>
        <w:rPr>
          <w:sz w:val="16"/>
          <w:szCs w:val="16"/>
        </w:rPr>
      </w:pPr>
      <w:r w:rsidRPr="00516C3E">
        <w:rPr>
          <w:rStyle w:val="Appelnotedebasdep"/>
          <w:sz w:val="16"/>
          <w:szCs w:val="16"/>
        </w:rPr>
        <w:footnoteRef/>
      </w:r>
      <w:r w:rsidRPr="00516C3E">
        <w:rPr>
          <w:sz w:val="16"/>
          <w:szCs w:val="16"/>
        </w:rPr>
        <w:t xml:space="preserve"> Article 222-34 à 222-43-1 du Code pénal</w:t>
      </w:r>
    </w:p>
  </w:footnote>
  <w:footnote w:id="4">
    <w:p w14:paraId="3757990F" w14:textId="6D46912B" w:rsidR="00516C3E" w:rsidRPr="00516C3E" w:rsidRDefault="00516C3E">
      <w:pPr>
        <w:pStyle w:val="Notedebasdepage"/>
        <w:rPr>
          <w:sz w:val="16"/>
          <w:szCs w:val="16"/>
        </w:rPr>
      </w:pPr>
      <w:r w:rsidRPr="00516C3E">
        <w:rPr>
          <w:rStyle w:val="Appelnotedebasdep"/>
          <w:sz w:val="16"/>
          <w:szCs w:val="16"/>
        </w:rPr>
        <w:footnoteRef/>
      </w:r>
      <w:r w:rsidRPr="00516C3E">
        <w:rPr>
          <w:sz w:val="16"/>
          <w:szCs w:val="16"/>
        </w:rPr>
        <w:t xml:space="preserve"> Article L3421-1 du Code de la santé publique</w:t>
      </w:r>
    </w:p>
  </w:footnote>
  <w:footnote w:id="5">
    <w:p w14:paraId="5F24D527" w14:textId="2DCD353E" w:rsidR="00F2563C" w:rsidRPr="00F2563C" w:rsidRDefault="00F2563C">
      <w:pPr>
        <w:pStyle w:val="Notedebasdepage"/>
        <w:rPr>
          <w:sz w:val="16"/>
          <w:szCs w:val="16"/>
        </w:rPr>
      </w:pPr>
      <w:r w:rsidRPr="00F2563C">
        <w:rPr>
          <w:rStyle w:val="Appelnotedebasdep"/>
          <w:sz w:val="16"/>
          <w:szCs w:val="16"/>
        </w:rPr>
        <w:footnoteRef/>
      </w:r>
      <w:r w:rsidRPr="00F2563C">
        <w:rPr>
          <w:sz w:val="16"/>
          <w:szCs w:val="16"/>
        </w:rPr>
        <w:t xml:space="preserve"> Article L3421-4 du Code de la santé publique </w:t>
      </w:r>
    </w:p>
  </w:footnote>
  <w:footnote w:id="6">
    <w:p w14:paraId="51E8EB62" w14:textId="77777777" w:rsidR="002E08CC" w:rsidRPr="00234BD9" w:rsidRDefault="002E08CC" w:rsidP="002E08CC">
      <w:pPr>
        <w:pStyle w:val="Notedebasdepage"/>
        <w:rPr>
          <w:sz w:val="16"/>
          <w:szCs w:val="16"/>
        </w:rPr>
      </w:pPr>
      <w:r w:rsidRPr="00234BD9">
        <w:rPr>
          <w:rStyle w:val="Appelnotedebasdep"/>
          <w:sz w:val="16"/>
          <w:szCs w:val="16"/>
        </w:rPr>
        <w:footnoteRef/>
      </w:r>
      <w:r w:rsidRPr="00234BD9">
        <w:rPr>
          <w:sz w:val="16"/>
          <w:szCs w:val="16"/>
        </w:rPr>
        <w:t xml:space="preserve"> Article R5132-86</w:t>
      </w:r>
      <w:r>
        <w:rPr>
          <w:sz w:val="16"/>
          <w:szCs w:val="16"/>
        </w:rPr>
        <w:t xml:space="preserve"> II</w:t>
      </w:r>
      <w:r w:rsidRPr="00234B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alinéa 1 </w:t>
      </w:r>
      <w:r w:rsidRPr="00234BD9">
        <w:rPr>
          <w:sz w:val="16"/>
          <w:szCs w:val="16"/>
        </w:rPr>
        <w:t>du Code de la santé publique</w:t>
      </w:r>
    </w:p>
  </w:footnote>
  <w:footnote w:id="7">
    <w:p w14:paraId="39A343CC" w14:textId="77777777" w:rsidR="000359A0" w:rsidRDefault="000359A0" w:rsidP="000359A0">
      <w:pPr>
        <w:pStyle w:val="Notedebasdepage"/>
      </w:pPr>
      <w:r w:rsidRPr="000C23D6">
        <w:rPr>
          <w:rStyle w:val="Appelnotedebasdep"/>
          <w:sz w:val="16"/>
          <w:szCs w:val="16"/>
        </w:rPr>
        <w:footnoteRef/>
      </w:r>
      <w:r w:rsidRPr="000C23D6">
        <w:rPr>
          <w:sz w:val="16"/>
          <w:szCs w:val="16"/>
        </w:rPr>
        <w:t xml:space="preserve"> Arrête du 22 août 1990 portant application de l'article R. 5132-86 du code de la santé publique pour le cannabis</w:t>
      </w:r>
    </w:p>
  </w:footnote>
  <w:footnote w:id="8">
    <w:p w14:paraId="33F69231" w14:textId="77777777" w:rsidR="00F90A0B" w:rsidRDefault="00F90A0B" w:rsidP="00F90A0B">
      <w:pPr>
        <w:pStyle w:val="Notedebasdepage"/>
      </w:pPr>
      <w:r w:rsidRPr="001217E0">
        <w:rPr>
          <w:rStyle w:val="Appelnotedebasdep"/>
          <w:sz w:val="16"/>
          <w:szCs w:val="16"/>
        </w:rPr>
        <w:footnoteRef/>
      </w:r>
      <w:r w:rsidRPr="001217E0">
        <w:rPr>
          <w:sz w:val="16"/>
          <w:szCs w:val="16"/>
        </w:rPr>
        <w:t xml:space="preserve"> CJUE C-663/18 du 19 novembre 2020, </w:t>
      </w:r>
      <w:proofErr w:type="spellStart"/>
      <w:r w:rsidRPr="001217E0">
        <w:rPr>
          <w:sz w:val="16"/>
          <w:szCs w:val="16"/>
        </w:rPr>
        <w:t>Kanavape</w:t>
      </w:r>
      <w:proofErr w:type="spellEnd"/>
    </w:p>
  </w:footnote>
  <w:footnote w:id="9">
    <w:p w14:paraId="54248CC1" w14:textId="3F6BF433" w:rsidR="00757A24" w:rsidRPr="00C5138D" w:rsidRDefault="00757A24">
      <w:pPr>
        <w:pStyle w:val="Notedebasdepage"/>
        <w:rPr>
          <w:sz w:val="16"/>
          <w:szCs w:val="16"/>
        </w:rPr>
      </w:pPr>
      <w:r w:rsidRPr="00C5138D">
        <w:rPr>
          <w:rStyle w:val="Appelnotedebasdep"/>
          <w:sz w:val="16"/>
          <w:szCs w:val="16"/>
        </w:rPr>
        <w:footnoteRef/>
      </w:r>
      <w:r w:rsidRPr="00C5138D">
        <w:rPr>
          <w:sz w:val="16"/>
          <w:szCs w:val="16"/>
        </w:rPr>
        <w:t xml:space="preserve"> Article 34 du Traité sur le fonctionnement de l’Union Européenne</w:t>
      </w:r>
    </w:p>
  </w:footnote>
  <w:footnote w:id="10">
    <w:p w14:paraId="64E4B8DD" w14:textId="77777777" w:rsidR="00381D9A" w:rsidRDefault="00381D9A" w:rsidP="00381D9A">
      <w:pPr>
        <w:pStyle w:val="Notedebasdepage"/>
      </w:pPr>
      <w:r w:rsidRPr="0071379C">
        <w:rPr>
          <w:rStyle w:val="Appelnotedebasdep"/>
          <w:sz w:val="16"/>
          <w:szCs w:val="16"/>
        </w:rPr>
        <w:footnoteRef/>
      </w:r>
      <w:r w:rsidRPr="0071379C">
        <w:rPr>
          <w:sz w:val="16"/>
          <w:szCs w:val="16"/>
        </w:rPr>
        <w:t xml:space="preserve"> Décret n° 2013-473 du 5 juin 2013 modifiant en ce qui concerne les spécialités pharmaceutiques les dispositions de l'article R. 5132-86 du code de la santé publique relatives à l'interdiction d'opérations portant sur le cannabis ou ses dérivés</w:t>
      </w:r>
    </w:p>
  </w:footnote>
  <w:footnote w:id="11">
    <w:p w14:paraId="45D11249" w14:textId="449657F2" w:rsidR="0020148E" w:rsidRPr="0020148E" w:rsidRDefault="0020148E">
      <w:pPr>
        <w:pStyle w:val="Notedebasdepage"/>
        <w:rPr>
          <w:sz w:val="16"/>
          <w:szCs w:val="16"/>
        </w:rPr>
      </w:pPr>
      <w:r w:rsidRPr="0020148E">
        <w:rPr>
          <w:rStyle w:val="Appelnotedebasdep"/>
          <w:sz w:val="16"/>
          <w:szCs w:val="16"/>
        </w:rPr>
        <w:footnoteRef/>
      </w:r>
      <w:r w:rsidRPr="0020148E">
        <w:rPr>
          <w:sz w:val="16"/>
          <w:szCs w:val="16"/>
        </w:rPr>
        <w:t xml:space="preserve"> Article R5132-86 III du Code de la santé publique </w:t>
      </w:r>
    </w:p>
  </w:footnote>
  <w:footnote w:id="12">
    <w:p w14:paraId="183EF747" w14:textId="0C0ECCCC" w:rsidR="009D101E" w:rsidRDefault="009D101E">
      <w:pPr>
        <w:pStyle w:val="Notedebasdepage"/>
        <w:rPr>
          <w:sz w:val="16"/>
          <w:szCs w:val="16"/>
        </w:rPr>
      </w:pPr>
      <w:r w:rsidRPr="009D101E">
        <w:rPr>
          <w:rStyle w:val="Appelnotedebasdep"/>
          <w:sz w:val="16"/>
          <w:szCs w:val="16"/>
        </w:rPr>
        <w:footnoteRef/>
      </w:r>
      <w:r>
        <w:t xml:space="preserve"> </w:t>
      </w:r>
      <w:r w:rsidRPr="00541020">
        <w:rPr>
          <w:sz w:val="16"/>
          <w:szCs w:val="16"/>
        </w:rPr>
        <w:t>LOI n° 2019-1446 du 24 décembre 2019 de financement de la sécurité sociale pour 2020</w:t>
      </w:r>
      <w:r>
        <w:rPr>
          <w:sz w:val="16"/>
          <w:szCs w:val="16"/>
        </w:rPr>
        <w:t xml:space="preserve"> </w:t>
      </w:r>
    </w:p>
    <w:p w14:paraId="01C8E156" w14:textId="77777777" w:rsidR="009D101E" w:rsidRDefault="009D101E" w:rsidP="009D101E">
      <w:pPr>
        <w:pStyle w:val="Notedebasdepage"/>
        <w:jc w:val="both"/>
        <w:rPr>
          <w:sz w:val="16"/>
          <w:szCs w:val="16"/>
        </w:rPr>
      </w:pPr>
      <w:r w:rsidRPr="003C44D6">
        <w:rPr>
          <w:sz w:val="16"/>
          <w:szCs w:val="16"/>
        </w:rPr>
        <w:t xml:space="preserve">Décret n°2020-1230 du 7 octobre 2020 relatif à l’expérimentation de l’usage médical du cannabis </w:t>
      </w:r>
    </w:p>
    <w:p w14:paraId="2ED378AA" w14:textId="12794FFA" w:rsidR="009D101E" w:rsidRDefault="009D101E" w:rsidP="009D101E">
      <w:pPr>
        <w:pStyle w:val="Notedebasdepage"/>
      </w:pPr>
      <w:r w:rsidRPr="003C44D6">
        <w:rPr>
          <w:sz w:val="16"/>
          <w:szCs w:val="16"/>
        </w:rPr>
        <w:t>Arrêté du 16 octobre 2020 fixant les spécifications des médicaments à base de cannabis utilisés pendant l’expérimentation prévue à l’article 43 de la loi n°2019-1446 du 24 décembre 2019 de financement de la sécurité sociale pour 2020, les conditions de leur mise à disposition ainsi que les indications thérapeutiques ou situations cliniques dans lesquelles ils seront utilisés</w:t>
      </w:r>
    </w:p>
  </w:footnote>
  <w:footnote w:id="13">
    <w:p w14:paraId="14B9C3C8" w14:textId="77777777" w:rsidR="001E7EEF" w:rsidRDefault="001E7EEF" w:rsidP="001E7EEF">
      <w:pPr>
        <w:pStyle w:val="Notedebasdepage"/>
        <w:jc w:val="both"/>
      </w:pPr>
      <w:r w:rsidRPr="003C44D6">
        <w:rPr>
          <w:rStyle w:val="Appelnotedebasdep"/>
          <w:sz w:val="16"/>
          <w:szCs w:val="16"/>
        </w:rPr>
        <w:footnoteRef/>
      </w:r>
      <w:r w:rsidRPr="003C44D6">
        <w:rPr>
          <w:sz w:val="16"/>
          <w:szCs w:val="16"/>
        </w:rPr>
        <w:t xml:space="preserve"> Arrêté du 16 octobre 2020 fixant les spécifications des médicaments à base de cannabis utilisés pendant l’expérimentation prévue à l’article 43 de la loi n°2019-1446 du 24 décembre 2019 de financement de la sécurité sociale pour 2020, les conditions de leur mise à disposition ainsi que les indications thérapeutiques ou situations cliniques dans lesquelles ils seront utilisés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944"/>
    <w:multiLevelType w:val="hybridMultilevel"/>
    <w:tmpl w:val="9A288890"/>
    <w:lvl w:ilvl="0" w:tplc="B0FC20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0233"/>
    <w:multiLevelType w:val="hybridMultilevel"/>
    <w:tmpl w:val="EB3E5012"/>
    <w:lvl w:ilvl="0" w:tplc="BED22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847BB"/>
    <w:multiLevelType w:val="hybridMultilevel"/>
    <w:tmpl w:val="59E4E064"/>
    <w:lvl w:ilvl="0" w:tplc="0D98F72E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30" w:hanging="360"/>
      </w:pPr>
    </w:lvl>
    <w:lvl w:ilvl="2" w:tplc="040C001B" w:tentative="1">
      <w:start w:val="1"/>
      <w:numFmt w:val="lowerRoman"/>
      <w:lvlText w:val="%3."/>
      <w:lvlJc w:val="right"/>
      <w:pPr>
        <w:ind w:left="1850" w:hanging="180"/>
      </w:pPr>
    </w:lvl>
    <w:lvl w:ilvl="3" w:tplc="040C000F" w:tentative="1">
      <w:start w:val="1"/>
      <w:numFmt w:val="decimal"/>
      <w:lvlText w:val="%4."/>
      <w:lvlJc w:val="left"/>
      <w:pPr>
        <w:ind w:left="2570" w:hanging="360"/>
      </w:pPr>
    </w:lvl>
    <w:lvl w:ilvl="4" w:tplc="040C0019" w:tentative="1">
      <w:start w:val="1"/>
      <w:numFmt w:val="lowerLetter"/>
      <w:lvlText w:val="%5."/>
      <w:lvlJc w:val="left"/>
      <w:pPr>
        <w:ind w:left="3290" w:hanging="360"/>
      </w:pPr>
    </w:lvl>
    <w:lvl w:ilvl="5" w:tplc="040C001B" w:tentative="1">
      <w:start w:val="1"/>
      <w:numFmt w:val="lowerRoman"/>
      <w:lvlText w:val="%6."/>
      <w:lvlJc w:val="right"/>
      <w:pPr>
        <w:ind w:left="4010" w:hanging="180"/>
      </w:pPr>
    </w:lvl>
    <w:lvl w:ilvl="6" w:tplc="040C000F" w:tentative="1">
      <w:start w:val="1"/>
      <w:numFmt w:val="decimal"/>
      <w:lvlText w:val="%7."/>
      <w:lvlJc w:val="left"/>
      <w:pPr>
        <w:ind w:left="4730" w:hanging="360"/>
      </w:pPr>
    </w:lvl>
    <w:lvl w:ilvl="7" w:tplc="040C0019" w:tentative="1">
      <w:start w:val="1"/>
      <w:numFmt w:val="lowerLetter"/>
      <w:lvlText w:val="%8."/>
      <w:lvlJc w:val="left"/>
      <w:pPr>
        <w:ind w:left="5450" w:hanging="360"/>
      </w:pPr>
    </w:lvl>
    <w:lvl w:ilvl="8" w:tplc="040C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4A9C0C06"/>
    <w:multiLevelType w:val="hybridMultilevel"/>
    <w:tmpl w:val="D068D09C"/>
    <w:lvl w:ilvl="0" w:tplc="DB6C42B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C077E"/>
    <w:multiLevelType w:val="hybridMultilevel"/>
    <w:tmpl w:val="BD560906"/>
    <w:lvl w:ilvl="0" w:tplc="57D64912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33689"/>
    <w:multiLevelType w:val="hybridMultilevel"/>
    <w:tmpl w:val="9BE2B226"/>
    <w:lvl w:ilvl="0" w:tplc="F0F8D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40170"/>
    <w:multiLevelType w:val="hybridMultilevel"/>
    <w:tmpl w:val="252692BA"/>
    <w:lvl w:ilvl="0" w:tplc="A5AEB7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26BFE"/>
    <w:multiLevelType w:val="hybridMultilevel"/>
    <w:tmpl w:val="3AA88C1E"/>
    <w:lvl w:ilvl="0" w:tplc="138A02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510BD"/>
    <w:multiLevelType w:val="hybridMultilevel"/>
    <w:tmpl w:val="B826FABC"/>
    <w:lvl w:ilvl="0" w:tplc="DB6C42BA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DA"/>
    <w:rsid w:val="00001801"/>
    <w:rsid w:val="000033E2"/>
    <w:rsid w:val="000359A0"/>
    <w:rsid w:val="00084B07"/>
    <w:rsid w:val="000B40EC"/>
    <w:rsid w:val="000C23D6"/>
    <w:rsid w:val="000D1C18"/>
    <w:rsid w:val="000D507E"/>
    <w:rsid w:val="000F55DC"/>
    <w:rsid w:val="000F6489"/>
    <w:rsid w:val="001217E0"/>
    <w:rsid w:val="001366E5"/>
    <w:rsid w:val="0017325D"/>
    <w:rsid w:val="0017795C"/>
    <w:rsid w:val="00197156"/>
    <w:rsid w:val="001C11DD"/>
    <w:rsid w:val="001E7EEF"/>
    <w:rsid w:val="001F52A4"/>
    <w:rsid w:val="0020148E"/>
    <w:rsid w:val="00206A89"/>
    <w:rsid w:val="002154BD"/>
    <w:rsid w:val="002178EC"/>
    <w:rsid w:val="00234BD9"/>
    <w:rsid w:val="002A4DFF"/>
    <w:rsid w:val="002B4E47"/>
    <w:rsid w:val="002B5CEA"/>
    <w:rsid w:val="002E08CC"/>
    <w:rsid w:val="00303748"/>
    <w:rsid w:val="003254FA"/>
    <w:rsid w:val="00332E4F"/>
    <w:rsid w:val="00381D9A"/>
    <w:rsid w:val="003B37BE"/>
    <w:rsid w:val="003C44D6"/>
    <w:rsid w:val="0041422F"/>
    <w:rsid w:val="00466C7E"/>
    <w:rsid w:val="004719C8"/>
    <w:rsid w:val="00475F4C"/>
    <w:rsid w:val="004809C8"/>
    <w:rsid w:val="004B2D84"/>
    <w:rsid w:val="00516C3E"/>
    <w:rsid w:val="00541020"/>
    <w:rsid w:val="006229C3"/>
    <w:rsid w:val="006B5892"/>
    <w:rsid w:val="006C5272"/>
    <w:rsid w:val="007010F3"/>
    <w:rsid w:val="0071379C"/>
    <w:rsid w:val="00731D48"/>
    <w:rsid w:val="00744DD1"/>
    <w:rsid w:val="00757A24"/>
    <w:rsid w:val="00765767"/>
    <w:rsid w:val="0083426A"/>
    <w:rsid w:val="0084639D"/>
    <w:rsid w:val="008507C3"/>
    <w:rsid w:val="008C4973"/>
    <w:rsid w:val="008D35B3"/>
    <w:rsid w:val="00900D64"/>
    <w:rsid w:val="00917625"/>
    <w:rsid w:val="00976760"/>
    <w:rsid w:val="009D101E"/>
    <w:rsid w:val="009D5D00"/>
    <w:rsid w:val="00A1319E"/>
    <w:rsid w:val="00A251AA"/>
    <w:rsid w:val="00A5213C"/>
    <w:rsid w:val="00A55A66"/>
    <w:rsid w:val="00A74552"/>
    <w:rsid w:val="00AA7EFB"/>
    <w:rsid w:val="00AB202A"/>
    <w:rsid w:val="00AB345A"/>
    <w:rsid w:val="00AF2E78"/>
    <w:rsid w:val="00B32652"/>
    <w:rsid w:val="00B50317"/>
    <w:rsid w:val="00B97C7C"/>
    <w:rsid w:val="00C31A1E"/>
    <w:rsid w:val="00C3238D"/>
    <w:rsid w:val="00C41426"/>
    <w:rsid w:val="00C5138D"/>
    <w:rsid w:val="00D12D80"/>
    <w:rsid w:val="00D44C07"/>
    <w:rsid w:val="00D54850"/>
    <w:rsid w:val="00DE07DA"/>
    <w:rsid w:val="00E108DB"/>
    <w:rsid w:val="00E12924"/>
    <w:rsid w:val="00E46DEC"/>
    <w:rsid w:val="00E63258"/>
    <w:rsid w:val="00F02375"/>
    <w:rsid w:val="00F2563C"/>
    <w:rsid w:val="00F52E0B"/>
    <w:rsid w:val="00F632D1"/>
    <w:rsid w:val="00F90A0B"/>
    <w:rsid w:val="00FA6C60"/>
    <w:rsid w:val="00FD4497"/>
    <w:rsid w:val="00FD58E5"/>
    <w:rsid w:val="00FD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3E47"/>
  <w15:chartTrackingRefBased/>
  <w15:docId w15:val="{D38E322F-6456-4055-893C-3C5E8016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102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410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410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102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A745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45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45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45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45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B7515-BFA5-4CB0-A6D2-C201421D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1159</Words>
  <Characters>6378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Bignon Lebray</dc:creator>
  <cp:keywords/>
  <dc:description/>
  <cp:lastModifiedBy>BIGNON LEBRAY</cp:lastModifiedBy>
  <cp:revision>2</cp:revision>
  <cp:lastPrinted>2021-09-20T09:07:00Z</cp:lastPrinted>
  <dcterms:created xsi:type="dcterms:W3CDTF">2021-09-24T17:48:00Z</dcterms:created>
  <dcterms:modified xsi:type="dcterms:W3CDTF">2021-09-24T17:48:00Z</dcterms:modified>
</cp:coreProperties>
</file>